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R3-253245</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CRCoverPage"/>
        <w:tabs>
          <w:tab w:val="right" w:pos="9639"/>
        </w:tabs>
        <w:spacing w:after="0"/>
        <w:rPr>
          <w:b/>
          <w:sz w:val="24"/>
        </w:rPr>
      </w:pPr>
    </w:p>
    <w:p>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t xml:space="preserve">Discussion on </w:t>
      </w:r>
      <w:r>
        <w:rPr>
          <w:rFonts w:ascii="Arial" w:hAnsi="Arial"/>
          <w:sz w:val="24"/>
          <w:lang w:eastAsia="zh-CN"/>
        </w:rPr>
        <w:t>Leftover issues on AIoT</w:t>
      </w:r>
    </w:p>
    <w:p>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 China Telecom</w:t>
      </w:r>
    </w:p>
    <w:p>
      <w:pPr>
        <w:tabs>
          <w:tab w:val="left" w:pos="1985"/>
        </w:tabs>
        <w:rPr>
          <w:rStyle w:val="af3"/>
        </w:rPr>
      </w:pPr>
      <w:r>
        <w:rPr>
          <w:rStyle w:val="af3"/>
        </w:rPr>
        <w:t>Agenda item:</w:t>
      </w:r>
      <w:r>
        <w:rPr>
          <w:rStyle w:val="af3"/>
        </w:rPr>
        <w:tab/>
        <w:t>16.2</w:t>
      </w:r>
    </w:p>
    <w:p>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0"/>
        <w:numPr>
          <w:ilvl w:val="0"/>
          <w:numId w:val="3"/>
        </w:numPr>
        <w:rPr>
          <w:lang w:eastAsia="zh-CN"/>
        </w:rPr>
      </w:pPr>
      <w:r>
        <w:rPr>
          <w:lang w:eastAsia="zh-CN"/>
        </w:rPr>
        <w:t>Introduction</w:t>
      </w:r>
    </w:p>
    <w:p>
      <w:pPr>
        <w:rPr>
          <w:rFonts w:eastAsia="PMingLiU"/>
        </w:rPr>
      </w:pPr>
      <w:r>
        <w:rPr>
          <w:rFonts w:eastAsia="PMingLiU"/>
        </w:rPr>
        <w:t xml:space="preserve">In the </w:t>
      </w:r>
      <w:r>
        <w:rPr>
          <w:rFonts w:eastAsia="PMingLiU" w:hint="eastAsia"/>
        </w:rPr>
        <w:t>R</w:t>
      </w:r>
      <w:r>
        <w:rPr>
          <w:rFonts w:eastAsia="PMingLiU"/>
        </w:rPr>
        <w:t>AN3 #127bis meeting, we have achieved the following progress.</w:t>
      </w:r>
    </w:p>
    <w:p>
      <w:pPr>
        <w:spacing w:after="0" w:line="360" w:lineRule="auto"/>
        <w:ind w:leftChars="300" w:left="600"/>
        <w:rPr>
          <w:rFonts w:eastAsia="MS Mincho" w:cs="Calibri"/>
          <w:iCs/>
          <w:color w:val="00B050"/>
          <w:kern w:val="2"/>
          <w:sz w:val="18"/>
          <w:szCs w:val="16"/>
        </w:rPr>
      </w:pPr>
      <w:r>
        <w:rPr>
          <w:rFonts w:eastAsia="MS Mincho" w:cs="Calibri"/>
          <w:iCs/>
          <w:color w:val="00B050"/>
          <w:kern w:val="2"/>
          <w:sz w:val="18"/>
          <w:szCs w:val="16"/>
        </w:rPr>
        <w:t>Turn the WA to agreement, i.e., Including AIOTF information containers in NGAP.</w:t>
      </w:r>
    </w:p>
    <w:p>
      <w:pPr>
        <w:spacing w:after="0" w:line="360" w:lineRule="auto"/>
        <w:ind w:leftChars="300" w:left="600"/>
        <w:rPr>
          <w:rFonts w:eastAsia="MS Mincho" w:cs="Calibri"/>
          <w:iCs/>
          <w:color w:val="00B050"/>
          <w:kern w:val="2"/>
          <w:sz w:val="18"/>
          <w:szCs w:val="16"/>
        </w:rPr>
      </w:pPr>
      <w:r>
        <w:rPr>
          <w:rFonts w:eastAsia="MS Mincho" w:cs="Calibri"/>
          <w:iCs/>
          <w:color w:val="00B050"/>
          <w:kern w:val="2"/>
          <w:sz w:val="18"/>
          <w:szCs w:val="16"/>
        </w:rPr>
        <w:t>Enhancing the existing NGAP interface management procedures.</w:t>
      </w:r>
    </w:p>
    <w:p>
      <w:pPr>
        <w:spacing w:after="0" w:line="360" w:lineRule="auto"/>
        <w:ind w:leftChars="300" w:left="600"/>
        <w:rPr>
          <w:rFonts w:eastAsia="MS Mincho" w:cs="Calibri"/>
          <w:iCs/>
          <w:color w:val="00B050"/>
          <w:kern w:val="2"/>
          <w:sz w:val="18"/>
          <w:szCs w:val="16"/>
        </w:rPr>
      </w:pPr>
      <w:r>
        <w:rPr>
          <w:rFonts w:eastAsia="MS Mincho" w:cs="Calibri"/>
          <w:iCs/>
          <w:color w:val="00B050"/>
          <w:kern w:val="2"/>
          <w:sz w:val="18"/>
          <w:szCs w:val="16"/>
        </w:rPr>
        <w:t>Introducing an AIoT indicator in the NGAP Setup Request message. The detail of this indicator can be further discussed.</w:t>
      </w:r>
    </w:p>
    <w:p>
      <w:pPr>
        <w:spacing w:after="0" w:line="360" w:lineRule="auto"/>
        <w:ind w:leftChars="300" w:left="600"/>
        <w:rPr>
          <w:rFonts w:eastAsia="MS Mincho" w:cs="Calibri"/>
          <w:iCs/>
          <w:color w:val="00B050"/>
          <w:kern w:val="2"/>
          <w:sz w:val="18"/>
          <w:szCs w:val="16"/>
        </w:rPr>
      </w:pPr>
      <w:r>
        <w:rPr>
          <w:rFonts w:eastAsia="MS Mincho" w:cs="Calibri"/>
          <w:iCs/>
          <w:color w:val="00B050"/>
          <w:kern w:val="2"/>
          <w:sz w:val="18"/>
          <w:szCs w:val="16"/>
        </w:rPr>
        <w:t>Introduce a “Correlation ID” in the respective NGAP inventory at least inside the transfer containers.</w:t>
      </w:r>
    </w:p>
    <w:p>
      <w:pPr>
        <w:spacing w:after="0" w:line="360" w:lineRule="auto"/>
        <w:ind w:leftChars="300" w:left="600"/>
        <w:rPr>
          <w:rFonts w:eastAsia="MS Mincho" w:cs="Calibri"/>
          <w:iCs/>
          <w:kern w:val="2"/>
          <w:sz w:val="18"/>
          <w:szCs w:val="16"/>
          <w:u w:val="single"/>
        </w:rPr>
      </w:pPr>
      <w:r>
        <w:rPr>
          <w:rFonts w:eastAsia="MS Mincho" w:cs="Calibri"/>
          <w:iCs/>
          <w:kern w:val="2"/>
          <w:sz w:val="18"/>
          <w:szCs w:val="16"/>
          <w:u w:val="single"/>
        </w:rPr>
        <w:t>General:</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Turn previous “WA: Introduce a NGAP Class 1 Inventory Request procedure.” and “WA: Introduce a NGAP Class 1 Command Request procedure” to agreements.</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Define the Reader Index as INTEGER (1..65536,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 xml:space="preserve">Introduce a new “A-IoT Area”. The AIOTF may indicate the Requested Service Area as a list of “A-IoT Areas” and/or a list of readers in the Inventory Request message.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The AIOTF is aware of the area within which the gNB supports the provision of A-IoT services by means of OAM. This area may be represented as “A-IoT Areas” and/or the readers supported by the gNB.</w:t>
      </w:r>
    </w:p>
    <w:p>
      <w:pPr>
        <w:pStyle w:val="27"/>
        <w:numPr>
          <w:ilvl w:val="0"/>
          <w:numId w:val="31"/>
        </w:numPr>
        <w:autoSpaceDN/>
        <w:spacing w:before="0" w:beforeAutospacing="0" w:after="0" w:line="360" w:lineRule="auto"/>
        <w:ind w:leftChars="300" w:left="960"/>
        <w:rPr>
          <w:rFonts w:eastAsia="等线" w:cs="Calibri"/>
          <w:bCs/>
          <w:color w:val="0000FF"/>
          <w:sz w:val="20"/>
          <w:szCs w:val="18"/>
          <w:u w:val="single"/>
        </w:rPr>
      </w:pPr>
      <w:r>
        <w:rPr>
          <w:rFonts w:ascii="Calibri" w:hAnsi="Calibri" w:cs="Calibri"/>
          <w:color w:val="FF0000"/>
          <w:sz w:val="18"/>
          <w:szCs w:val="16"/>
        </w:rPr>
        <w:t>It is FFS whether the new A-IoT Area is encoded as GNSS info or new A-IoT Area ID.</w:t>
      </w:r>
      <w:r>
        <w:rPr>
          <w:rFonts w:cs="Calibri"/>
          <w:color w:val="0000FF"/>
          <w:sz w:val="20"/>
          <w:szCs w:val="18"/>
        </w:rPr>
        <w:t xml:space="preserve"> </w:t>
      </w:r>
    </w:p>
    <w:p>
      <w:pPr>
        <w:spacing w:after="0" w:line="360" w:lineRule="auto"/>
        <w:ind w:leftChars="300" w:left="600"/>
        <w:rPr>
          <w:rFonts w:eastAsia="MS Mincho" w:cs="Calibri"/>
          <w:iCs/>
          <w:kern w:val="2"/>
          <w:sz w:val="18"/>
          <w:szCs w:val="16"/>
          <w:u w:val="single"/>
        </w:rPr>
      </w:pPr>
      <w:r>
        <w:rPr>
          <w:rFonts w:eastAsia="MS Mincho" w:cs="Calibri"/>
          <w:iCs/>
          <w:kern w:val="2"/>
          <w:sz w:val="18"/>
          <w:szCs w:val="16"/>
          <w:u w:val="single"/>
        </w:rPr>
        <w:t>About Inventory:</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 xml:space="preserve">WA: Include the Correlation Identifier IE outside of the Inventory related Transfer IEs in all the Inventory related messages.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 xml:space="preserve">Include the AIOTF Identifier IE outside of the Inventory related Transfer IEs in all the Inventory related messages.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The Inventory Request Transfer IE, also includes the following:</w:t>
      </w:r>
    </w:p>
    <w:p>
      <w:pPr>
        <w:pStyle w:val="27"/>
        <w:numPr>
          <w:ilvl w:val="1"/>
          <w:numId w:val="31"/>
        </w:numPr>
        <w:autoSpaceDN/>
        <w:spacing w:before="0" w:beforeAutospacing="0" w:after="0" w:line="360" w:lineRule="auto"/>
        <w:ind w:leftChars="510" w:left="144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Device Identification for Paging (to enable paging for single device, a group of devices, all devices)</w:t>
      </w:r>
    </w:p>
    <w:p>
      <w:pPr>
        <w:pStyle w:val="27"/>
        <w:numPr>
          <w:ilvl w:val="1"/>
          <w:numId w:val="31"/>
        </w:numPr>
        <w:autoSpaceDN/>
        <w:spacing w:before="0" w:beforeAutospacing="0" w:after="0" w:line="360" w:lineRule="auto"/>
        <w:ind w:leftChars="510" w:left="144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Requested Service Area Information (A-IoT Area list and/or Reader list)</w:t>
      </w:r>
    </w:p>
    <w:p>
      <w:pPr>
        <w:pStyle w:val="27"/>
        <w:numPr>
          <w:ilvl w:val="1"/>
          <w:numId w:val="31"/>
        </w:numPr>
        <w:autoSpaceDN/>
        <w:spacing w:before="0" w:beforeAutospacing="0" w:after="0" w:line="360" w:lineRule="auto"/>
        <w:ind w:leftChars="510" w:left="144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 xml:space="preserve">Inventory Assistance Information (Approximates Number of Target A-IoT Devices). </w:t>
      </w:r>
    </w:p>
    <w:p>
      <w:pPr>
        <w:pStyle w:val="27"/>
        <w:numPr>
          <w:ilvl w:val="0"/>
          <w:numId w:val="31"/>
        </w:numPr>
        <w:autoSpaceDN/>
        <w:spacing w:before="0" w:beforeAutospacing="0" w:after="0" w:line="360" w:lineRule="auto"/>
        <w:ind w:leftChars="300" w:left="960"/>
        <w:rPr>
          <w:rFonts w:ascii="Calibri" w:hAnsi="Calibri" w:cs="Calibri"/>
          <w:color w:val="FF0000"/>
          <w:sz w:val="18"/>
          <w:szCs w:val="16"/>
        </w:rPr>
      </w:pPr>
      <w:r>
        <w:rPr>
          <w:rFonts w:ascii="Calibri" w:hAnsi="Calibri" w:cs="Calibri"/>
          <w:color w:val="FF0000"/>
          <w:sz w:val="18"/>
          <w:szCs w:val="16"/>
        </w:rPr>
        <w:t>It is FFS whether the Inventory Assistance Information includes the “Estimate of Expected D2R Message Size”</w:t>
      </w:r>
    </w:p>
    <w:p>
      <w:pPr>
        <w:spacing w:after="0" w:line="360" w:lineRule="auto"/>
        <w:ind w:leftChars="300" w:left="600"/>
        <w:rPr>
          <w:rFonts w:eastAsia="MS Mincho" w:cs="Calibri"/>
          <w:iCs/>
          <w:kern w:val="2"/>
          <w:sz w:val="18"/>
          <w:szCs w:val="16"/>
          <w:u w:val="single"/>
        </w:rPr>
      </w:pPr>
      <w:r>
        <w:rPr>
          <w:rFonts w:eastAsia="MS Mincho" w:cs="Calibri"/>
          <w:iCs/>
          <w:kern w:val="2"/>
          <w:sz w:val="18"/>
          <w:szCs w:val="16"/>
          <w:u w:val="single"/>
        </w:rPr>
        <w:t>About Command after inventory:</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Introduce a follow-on command indication in Inventory Request Transfer IE, in case of Command after inventory.</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For command related NGAP messages, the Correlation Identifier IE is the same one as in the related Inventory procedure.</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WA: NGAP: Command Request procedure is a per single device procedure, and no need to have a Command Report procedure.</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WA: Include the Correlation Identifier IE in both inside and outside of the Command related Transfer IEs in all the Command related messages.</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 xml:space="preserve">Include the AIOTF Identifier IE outside of the Command related Transfer IEs in all the command related messages.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The Command Request Transfer IE, also includes the following:</w:t>
      </w:r>
    </w:p>
    <w:p>
      <w:pPr>
        <w:pStyle w:val="27"/>
        <w:numPr>
          <w:ilvl w:val="1"/>
          <w:numId w:val="31"/>
        </w:numPr>
        <w:autoSpaceDN/>
        <w:spacing w:before="0" w:beforeAutospacing="0" w:after="0" w:line="360" w:lineRule="auto"/>
        <w:ind w:leftChars="510" w:left="144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lastRenderedPageBreak/>
        <w:t>An A-IoT NAS PDU</w:t>
      </w:r>
    </w:p>
    <w:p>
      <w:pPr>
        <w:pStyle w:val="27"/>
        <w:numPr>
          <w:ilvl w:val="1"/>
          <w:numId w:val="31"/>
        </w:numPr>
        <w:autoSpaceDN/>
        <w:spacing w:before="0" w:beforeAutospacing="0" w:after="0" w:line="360" w:lineRule="auto"/>
        <w:ind w:leftChars="510" w:left="144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Command Assistance Information: (Estimate of Expected D2R Message Size)</w:t>
      </w:r>
    </w:p>
    <w:p>
      <w:pPr>
        <w:pStyle w:val="27"/>
        <w:numPr>
          <w:ilvl w:val="1"/>
          <w:numId w:val="31"/>
        </w:numPr>
        <w:autoSpaceDN/>
        <w:spacing w:before="0" w:beforeAutospacing="0" w:after="0" w:line="360" w:lineRule="auto"/>
        <w:ind w:leftChars="510" w:left="1440"/>
        <w:rPr>
          <w:rFonts w:ascii="Calibri" w:hAnsi="Calibri" w:cs="Calibri"/>
          <w:color w:val="FF0000"/>
          <w:sz w:val="18"/>
          <w:szCs w:val="16"/>
        </w:rPr>
      </w:pPr>
      <w:r>
        <w:rPr>
          <w:rFonts w:ascii="Calibri" w:hAnsi="Calibri" w:cs="Calibri"/>
          <w:color w:val="FF0000"/>
          <w:sz w:val="18"/>
          <w:szCs w:val="16"/>
        </w:rPr>
        <w:t>It is FFS whether the Command Assistance Information includes the Command Type (read, write, disable…)</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Introduce per-session per-device Device Association (“RAN NGAP Device ID”, and</w:t>
      </w:r>
      <w:r>
        <w:rPr>
          <w:rFonts w:ascii="Calibri" w:hAnsi="Calibri" w:cs="Calibri"/>
          <w:color w:val="FF0000"/>
          <w:sz w:val="18"/>
          <w:szCs w:val="16"/>
        </w:rPr>
        <w:t xml:space="preserve"> “(FFS) CN NGAP Device ID” pair</w:t>
      </w:r>
      <w:r>
        <w:rPr>
          <w:rFonts w:ascii="Calibri" w:eastAsia="MS Mincho" w:hAnsi="Calibri" w:cs="Calibri"/>
          <w:iCs/>
          <w:color w:val="00B050"/>
          <w:kern w:val="2"/>
          <w:sz w:val="18"/>
          <w:szCs w:val="16"/>
        </w:rPr>
        <w:t xml:space="preserve">) between gNB and AIOTF, in case of Command after inventory.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In case of command after inventory, the gNB allocates and provides a “RAN NGAP Device ID” in the Inventory Report Transfer IE for each device.</w:t>
      </w:r>
    </w:p>
    <w:p>
      <w:pPr>
        <w:pStyle w:val="27"/>
        <w:numPr>
          <w:ilvl w:val="0"/>
          <w:numId w:val="31"/>
        </w:numPr>
        <w:autoSpaceDN/>
        <w:spacing w:before="0" w:beforeAutospacing="0" w:after="0" w:line="360" w:lineRule="auto"/>
        <w:ind w:leftChars="300" w:left="960"/>
        <w:rPr>
          <w:rFonts w:ascii="Calibri" w:hAnsi="Calibri" w:cs="Calibri"/>
          <w:color w:val="FF0000"/>
          <w:sz w:val="18"/>
          <w:szCs w:val="16"/>
        </w:rPr>
      </w:pPr>
      <w:r>
        <w:rPr>
          <w:rFonts w:ascii="Calibri" w:eastAsia="MS Mincho" w:hAnsi="Calibri" w:cs="Calibri"/>
          <w:iCs/>
          <w:color w:val="00B050"/>
          <w:kern w:val="2"/>
          <w:sz w:val="18"/>
          <w:szCs w:val="16"/>
        </w:rPr>
        <w:t>The Device Association is included in the Command Request Transfer IE and Command Response Transfer IE.</w:t>
      </w:r>
    </w:p>
    <w:p>
      <w:pPr>
        <w:pStyle w:val="27"/>
        <w:numPr>
          <w:ilvl w:val="0"/>
          <w:numId w:val="31"/>
        </w:numPr>
        <w:autoSpaceDN/>
        <w:spacing w:before="0" w:beforeAutospacing="0" w:after="0" w:line="360" w:lineRule="auto"/>
        <w:ind w:leftChars="300" w:left="960"/>
        <w:rPr>
          <w:rFonts w:ascii="Calibri" w:hAnsi="Calibri" w:cs="Calibri"/>
          <w:color w:val="FF0000"/>
          <w:sz w:val="18"/>
          <w:szCs w:val="16"/>
        </w:rPr>
      </w:pPr>
      <w:r>
        <w:rPr>
          <w:rFonts w:ascii="Calibri" w:hAnsi="Calibri" w:cs="Calibri"/>
          <w:color w:val="FF0000"/>
          <w:sz w:val="18"/>
          <w:szCs w:val="16"/>
        </w:rPr>
        <w:t>It is FFS whether to introduce the Device Association or a transaction ID, outside of the Transfer IEs, to allow parallel Command Request procedures for different devices between gNB and AMF.</w:t>
      </w:r>
    </w:p>
    <w:p>
      <w:pPr>
        <w:spacing w:after="0" w:line="360" w:lineRule="auto"/>
        <w:ind w:leftChars="300" w:left="600"/>
        <w:rPr>
          <w:rFonts w:cs="Calibri"/>
          <w:color w:val="FF0000"/>
          <w:sz w:val="18"/>
          <w:szCs w:val="16"/>
        </w:rPr>
      </w:pPr>
      <w:r>
        <w:rPr>
          <w:rFonts w:cs="Calibri"/>
          <w:color w:val="FF0000"/>
          <w:sz w:val="18"/>
          <w:szCs w:val="16"/>
        </w:rPr>
        <w:t>FFS on the Release/Cancel/End related procedure(s)/IE(s) for the A-IoT service/inventory/command.</w:t>
      </w:r>
    </w:p>
    <w:p>
      <w:pPr>
        <w:pStyle w:val="27"/>
        <w:autoSpaceDN/>
        <w:spacing w:before="0" w:beforeAutospacing="0" w:after="0" w:line="360" w:lineRule="auto"/>
        <w:ind w:leftChars="300" w:left="600"/>
        <w:rPr>
          <w:rFonts w:ascii="Calibri" w:eastAsia="MS Mincho" w:hAnsi="Calibri" w:cs="Calibri"/>
          <w:iCs/>
          <w:color w:val="00B050"/>
          <w:kern w:val="2"/>
          <w:sz w:val="18"/>
          <w:szCs w:val="16"/>
        </w:rPr>
      </w:pPr>
      <w:r>
        <w:rPr>
          <w:rFonts w:ascii="Calibri" w:hAnsi="Calibri" w:cs="Calibri"/>
          <w:color w:val="FF0000"/>
          <w:sz w:val="18"/>
          <w:szCs w:val="16"/>
        </w:rPr>
        <w:t xml:space="preserve">FFS on the NGAP signaling support to provide the A-IoT RAN Information (Reader List, Reader location, Supported A-IoT Areas) to the AIOTF. </w:t>
      </w:r>
    </w:p>
    <w:p>
      <w:pPr>
        <w:rPr>
          <w:lang w:val="en-US" w:eastAsia="zh-CN"/>
        </w:rPr>
      </w:pPr>
      <w:r>
        <w:rPr>
          <w:lang w:val="en-US" w:eastAsia="zh-CN"/>
        </w:rPr>
        <w:t>This paper further discusses the AIoT function based on the above progress.</w:t>
      </w:r>
    </w:p>
    <w:p>
      <w:pPr>
        <w:pStyle w:val="10"/>
        <w:numPr>
          <w:ilvl w:val="0"/>
          <w:numId w:val="3"/>
        </w:numPr>
        <w:rPr>
          <w:lang w:eastAsia="zh-CN"/>
        </w:rPr>
      </w:pPr>
      <w:r>
        <w:rPr>
          <w:lang w:eastAsia="zh-CN"/>
        </w:rPr>
        <w:t>Discussion</w:t>
      </w:r>
    </w:p>
    <w:p>
      <w:pPr>
        <w:pStyle w:val="20"/>
        <w:numPr>
          <w:ilvl w:val="1"/>
          <w:numId w:val="3"/>
        </w:numPr>
        <w:rPr>
          <w:lang w:val="en-US" w:eastAsia="zh-CN"/>
        </w:rPr>
      </w:pPr>
      <w:r>
        <w:rPr>
          <w:lang w:val="en-US" w:eastAsia="zh-CN"/>
        </w:rPr>
        <w:t>Definition of the Supported A-IoT Area</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The Inventory Request Transfer IE, also includes the following:</w:t>
      </w:r>
    </w:p>
    <w:p>
      <w:pPr>
        <w:pStyle w:val="27"/>
        <w:numPr>
          <w:ilvl w:val="1"/>
          <w:numId w:val="31"/>
        </w:numPr>
        <w:autoSpaceDN/>
        <w:spacing w:before="0" w:beforeAutospacing="0" w:after="0" w:line="360" w:lineRule="auto"/>
        <w:ind w:leftChars="510" w:left="144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Requested Service Area Information (A-IoT Area list and/or Reader list)</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 xml:space="preserve">Introduce a new “A-IoT Area”. The AIOTF may indicate the Requested Service Area as a list of “A-IoT Areas” and/or a list of readers in the Inventory Request message. </w:t>
      </w:r>
    </w:p>
    <w:p>
      <w:pPr>
        <w:pStyle w:val="27"/>
        <w:numPr>
          <w:ilvl w:val="0"/>
          <w:numId w:val="31"/>
        </w:numPr>
        <w:autoSpaceDN/>
        <w:spacing w:before="0" w:beforeAutospacing="0" w:after="0" w:line="360" w:lineRule="auto"/>
        <w:ind w:leftChars="300" w:left="960"/>
        <w:rPr>
          <w:rFonts w:ascii="Calibri" w:eastAsia="MS Mincho" w:hAnsi="Calibri" w:cs="Calibri"/>
          <w:iCs/>
          <w:color w:val="00B050"/>
          <w:kern w:val="2"/>
          <w:sz w:val="18"/>
          <w:szCs w:val="16"/>
        </w:rPr>
      </w:pPr>
      <w:r>
        <w:rPr>
          <w:rFonts w:ascii="Calibri" w:eastAsia="MS Mincho" w:hAnsi="Calibri" w:cs="Calibri"/>
          <w:iCs/>
          <w:color w:val="00B050"/>
          <w:kern w:val="2"/>
          <w:sz w:val="18"/>
          <w:szCs w:val="16"/>
        </w:rPr>
        <w:t>The AIOTF is aware of the area within which the gNB supports the provision of A-IoT services by means of OAM. This area may be represented as “A-IoT Areas” and/or the readers supported by the gNB.</w:t>
      </w:r>
    </w:p>
    <w:p>
      <w:pPr>
        <w:pStyle w:val="27"/>
        <w:numPr>
          <w:ilvl w:val="0"/>
          <w:numId w:val="31"/>
        </w:numPr>
        <w:autoSpaceDN/>
        <w:spacing w:before="0" w:beforeAutospacing="0" w:after="0" w:line="360" w:lineRule="auto"/>
        <w:ind w:leftChars="300" w:left="960"/>
        <w:rPr>
          <w:rFonts w:eastAsia="等线" w:cs="Calibri"/>
          <w:bCs/>
          <w:color w:val="0000FF"/>
          <w:sz w:val="20"/>
          <w:szCs w:val="18"/>
          <w:u w:val="single"/>
        </w:rPr>
      </w:pPr>
      <w:r>
        <w:rPr>
          <w:rFonts w:ascii="Calibri" w:hAnsi="Calibri" w:cs="Calibri"/>
          <w:color w:val="FF0000"/>
          <w:sz w:val="18"/>
          <w:szCs w:val="16"/>
        </w:rPr>
        <w:t>It is FFS whether the new A-IoT Area is encoded as GNSS info or new A-IoT Area ID.</w:t>
      </w:r>
      <w:r>
        <w:rPr>
          <w:rFonts w:cs="Calibri"/>
          <w:color w:val="0000FF"/>
          <w:sz w:val="20"/>
          <w:szCs w:val="18"/>
        </w:rPr>
        <w:t xml:space="preserve"> </w:t>
      </w:r>
    </w:p>
    <w:p>
      <w:pPr>
        <w:pStyle w:val="27"/>
        <w:autoSpaceDN/>
        <w:spacing w:before="0" w:beforeAutospacing="0" w:after="0" w:line="360" w:lineRule="auto"/>
        <w:ind w:left="568"/>
        <w:rPr>
          <w:rFonts w:ascii="Calibri" w:eastAsia="MS Mincho" w:hAnsi="Calibri" w:cs="Calibri"/>
          <w:iCs/>
          <w:color w:val="00B050"/>
          <w:kern w:val="2"/>
          <w:sz w:val="18"/>
          <w:szCs w:val="16"/>
        </w:rPr>
      </w:pPr>
      <w:r>
        <w:rPr>
          <w:rFonts w:ascii="Calibri" w:hAnsi="Calibri" w:cs="Calibri"/>
          <w:color w:val="FF0000"/>
          <w:sz w:val="18"/>
          <w:szCs w:val="16"/>
        </w:rPr>
        <w:t xml:space="preserve">FFS on the NGAP signaling support to provide the A-IoT RAN Information (Reader List, Reader location, Supported A-IoT Areas) to the AIOTF. </w:t>
      </w:r>
    </w:p>
    <w:tbl>
      <w:tblPr>
        <w:tblStyle w:val="ad"/>
        <w:tblW w:w="0" w:type="auto"/>
        <w:tblInd w:w="988" w:type="dxa"/>
        <w:tblLook w:val="04A0" w:firstRow="1" w:lastRow="0" w:firstColumn="1" w:lastColumn="0" w:noHBand="0" w:noVBand="1"/>
      </w:tblPr>
      <w:tblGrid>
        <w:gridCol w:w="8641"/>
      </w:tblGrid>
      <w:tr>
        <w:tc>
          <w:tcPr>
            <w:tcW w:w="8641" w:type="dxa"/>
          </w:tcPr>
          <w:p>
            <w:pPr>
              <w:rPr>
                <w:rFonts w:ascii="Arial" w:hAnsi="Arial" w:cs="Arial"/>
                <w:b/>
                <w:shd w:val="pct15" w:color="auto" w:fill="FFFFFF"/>
              </w:rPr>
            </w:pPr>
            <w:r>
              <w:rPr>
                <w:b/>
                <w:shd w:val="pct15" w:color="auto" w:fill="FFFFFF"/>
              </w:rPr>
              <w:t>SA2 LS: R3-253015</w:t>
            </w:r>
          </w:p>
          <w:p>
            <w:pPr>
              <w:spacing w:after="120"/>
              <w:rPr>
                <w:rFonts w:ascii="Arial" w:hAnsi="Arial" w:cs="Arial"/>
                <w:b/>
                <w:sz w:val="16"/>
              </w:rPr>
            </w:pPr>
            <w:r>
              <w:rPr>
                <w:rFonts w:ascii="Arial" w:hAnsi="Arial" w:cs="Arial"/>
                <w:b/>
                <w:sz w:val="16"/>
              </w:rPr>
              <w:t>1. Overall Description:</w:t>
            </w:r>
          </w:p>
          <w:p>
            <w:pPr>
              <w:spacing w:before="240"/>
              <w:rPr>
                <w:rFonts w:ascii="Arial" w:hAnsi="Arial" w:cs="Arial"/>
                <w:sz w:val="16"/>
                <w:lang w:eastAsia="zh-CN"/>
              </w:rPr>
            </w:pPr>
            <w:r>
              <w:rPr>
                <w:rFonts w:ascii="Arial" w:hAnsi="Arial" w:cs="Arial"/>
                <w:sz w:val="16"/>
                <w:lang w:eastAsia="zh-CN"/>
              </w:rPr>
              <w:t>SA2 thanks RAN3 for the LS about the RAN3 progress related to Architecture and OAM aspects.</w:t>
            </w:r>
          </w:p>
          <w:p>
            <w:pPr>
              <w:spacing w:before="240"/>
              <w:rPr>
                <w:rFonts w:ascii="Arial" w:hAnsi="Arial" w:cs="Arial"/>
                <w:sz w:val="16"/>
                <w:lang w:eastAsia="zh-CN"/>
              </w:rPr>
            </w:pPr>
            <w:r>
              <w:rPr>
                <w:rFonts w:ascii="Arial" w:hAnsi="Arial" w:cs="Arial" w:hint="eastAsia"/>
                <w:sz w:val="16"/>
                <w:lang w:eastAsia="zh-CN"/>
              </w:rPr>
              <w:t>S</w:t>
            </w:r>
            <w:r>
              <w:rPr>
                <w:rFonts w:ascii="Arial" w:hAnsi="Arial" w:cs="Arial"/>
                <w:sz w:val="16"/>
                <w:lang w:eastAsia="zh-CN"/>
              </w:rPr>
              <w:t>A2 would like to reply as following:</w:t>
            </w:r>
          </w:p>
          <w:p>
            <w:pPr>
              <w:pStyle w:val="af4"/>
              <w:numPr>
                <w:ilvl w:val="0"/>
                <w:numId w:val="32"/>
              </w:numPr>
              <w:spacing w:before="240" w:after="0"/>
              <w:ind w:firstLineChars="0"/>
              <w:rPr>
                <w:rFonts w:ascii="Arial" w:hAnsi="Arial" w:cs="Arial"/>
                <w:i/>
                <w:iCs/>
                <w:sz w:val="16"/>
                <w:lang w:eastAsia="zh-CN"/>
              </w:rPr>
            </w:pPr>
            <w:r>
              <w:rPr>
                <w:rFonts w:ascii="Arial" w:hAnsi="Arial" w:cs="Arial"/>
                <w:i/>
                <w:iCs/>
                <w:sz w:val="16"/>
                <w:lang w:eastAsia="zh-CN"/>
              </w:rPr>
              <w:t xml:space="preserve">AIOTF obtains the A-IoT RAN information (supported </w:t>
            </w:r>
            <w:r>
              <w:rPr>
                <w:rFonts w:ascii="Arial" w:hAnsi="Arial" w:cs="Arial"/>
                <w:i/>
                <w:iCs/>
                <w:sz w:val="16"/>
                <w:u w:val="single"/>
                <w:lang w:eastAsia="zh-CN"/>
              </w:rPr>
              <w:t>Area</w:t>
            </w:r>
            <w:r>
              <w:rPr>
                <w:rFonts w:ascii="Arial" w:hAnsi="Arial" w:cs="Arial"/>
                <w:i/>
                <w:iCs/>
                <w:sz w:val="16"/>
                <w:lang w:eastAsia="zh-CN"/>
              </w:rPr>
              <w:t>, served reader ID list) via OAM configuration</w:t>
            </w:r>
            <w:r>
              <w:rPr>
                <w:rFonts w:ascii="Arial" w:hAnsi="Arial" w:cs="Arial" w:hint="eastAsia"/>
                <w:i/>
                <w:iCs/>
                <w:sz w:val="16"/>
                <w:lang w:eastAsia="zh-CN"/>
              </w:rPr>
              <w:t xml:space="preserve">, </w:t>
            </w:r>
            <w:r>
              <w:rPr>
                <w:rFonts w:ascii="Arial" w:hAnsi="Arial" w:cs="Arial"/>
                <w:i/>
                <w:iCs/>
                <w:sz w:val="16"/>
                <w:lang w:eastAsia="zh-CN"/>
              </w:rPr>
              <w:t xml:space="preserve">FFS on RAN3 signalling for the A-IoT RAN information. </w:t>
            </w:r>
          </w:p>
          <w:p>
            <w:pPr>
              <w:spacing w:before="240"/>
              <w:rPr>
                <w:rFonts w:ascii="Arial" w:hAnsi="Arial" w:cs="Arial"/>
                <w:sz w:val="16"/>
                <w:lang w:eastAsia="zh-CN"/>
              </w:rPr>
            </w:pPr>
            <w:r>
              <w:rPr>
                <w:rFonts w:ascii="Arial" w:hAnsi="Arial" w:cs="Arial"/>
                <w:b/>
                <w:bCs/>
                <w:sz w:val="16"/>
                <w:lang w:eastAsia="zh-CN"/>
              </w:rPr>
              <w:t>[</w:t>
            </w:r>
            <w:r>
              <w:rPr>
                <w:rFonts w:ascii="Arial" w:hAnsi="Arial" w:cs="Arial" w:hint="eastAsia"/>
                <w:b/>
                <w:bCs/>
                <w:sz w:val="16"/>
                <w:lang w:eastAsia="zh-CN"/>
              </w:rPr>
              <w:t>S</w:t>
            </w:r>
            <w:r>
              <w:rPr>
                <w:rFonts w:ascii="Arial" w:hAnsi="Arial" w:cs="Arial"/>
                <w:b/>
                <w:bCs/>
                <w:sz w:val="16"/>
                <w:lang w:eastAsia="zh-CN"/>
              </w:rPr>
              <w:t xml:space="preserve">A2 </w:t>
            </w:r>
            <w:r>
              <w:rPr>
                <w:rFonts w:ascii="Arial" w:hAnsi="Arial" w:cs="Arial" w:hint="eastAsia"/>
                <w:b/>
                <w:bCs/>
                <w:sz w:val="16"/>
                <w:lang w:eastAsia="zh-CN"/>
              </w:rPr>
              <w:t>repl</w:t>
            </w:r>
            <w:r>
              <w:rPr>
                <w:rFonts w:ascii="Arial" w:hAnsi="Arial" w:cs="Arial"/>
                <w:b/>
                <w:bCs/>
                <w:sz w:val="16"/>
                <w:lang w:eastAsia="zh-CN"/>
              </w:rPr>
              <w:t>y]:</w:t>
            </w:r>
            <w:r>
              <w:rPr>
                <w:rFonts w:ascii="Arial" w:hAnsi="Arial" w:cs="Arial"/>
                <w:sz w:val="16"/>
                <w:lang w:eastAsia="zh-CN"/>
              </w:rPr>
              <w:t xml:space="preserve"> </w:t>
            </w:r>
          </w:p>
          <w:p>
            <w:pPr>
              <w:pStyle w:val="af4"/>
              <w:numPr>
                <w:ilvl w:val="0"/>
                <w:numId w:val="33"/>
              </w:numPr>
              <w:spacing w:before="240" w:after="0"/>
              <w:ind w:firstLineChars="0"/>
              <w:rPr>
                <w:rFonts w:ascii="Arial" w:hAnsi="Arial" w:cs="Arial"/>
                <w:sz w:val="16"/>
                <w:lang w:eastAsia="zh-CN"/>
              </w:rPr>
            </w:pPr>
            <w:r>
              <w:rPr>
                <w:rFonts w:ascii="Arial" w:hAnsi="Arial" w:cs="Arial"/>
                <w:sz w:val="16"/>
                <w:lang w:eastAsia="zh-CN"/>
              </w:rPr>
              <w:t xml:space="preserve">SA2 would ask whether </w:t>
            </w:r>
            <w:r>
              <w:rPr>
                <w:rFonts w:ascii="Arial" w:hAnsi="Arial" w:cs="Arial" w:hint="eastAsia"/>
                <w:sz w:val="16"/>
                <w:lang w:eastAsia="zh-CN"/>
              </w:rPr>
              <w:t>the</w:t>
            </w:r>
            <w:r>
              <w:rPr>
                <w:rFonts w:ascii="Arial" w:hAnsi="Arial" w:cs="Arial"/>
                <w:sz w:val="16"/>
                <w:lang w:eastAsia="zh-CN"/>
              </w:rPr>
              <w:t xml:space="preserve"> ‘supported Area’ is Tracking Area or a new type of area.</w:t>
            </w:r>
          </w:p>
          <w:p>
            <w:pPr>
              <w:pStyle w:val="af4"/>
              <w:numPr>
                <w:ilvl w:val="0"/>
                <w:numId w:val="33"/>
              </w:numPr>
              <w:spacing w:before="240" w:after="0"/>
              <w:ind w:firstLineChars="0"/>
              <w:rPr>
                <w:lang w:eastAsia="zh-CN"/>
              </w:rPr>
            </w:pPr>
            <w:r>
              <w:rPr>
                <w:rFonts w:ascii="Arial" w:hAnsi="Arial" w:cs="Arial"/>
                <w:sz w:val="16"/>
                <w:lang w:eastAsia="zh-CN"/>
              </w:rPr>
              <w:t>SA2 would like to ask whether one reader is only part of one supported Area or can be part of multiple supported Areas.</w:t>
            </w:r>
          </w:p>
        </w:tc>
      </w:tr>
    </w:tbl>
    <w:p>
      <w:pPr>
        <w:tabs>
          <w:tab w:val="left" w:pos="691"/>
        </w:tabs>
        <w:spacing w:beforeLines="50" w:before="120" w:after="120"/>
        <w:rPr>
          <w:lang w:eastAsia="zh-CN"/>
        </w:rPr>
      </w:pPr>
    </w:p>
    <w:p>
      <w:pPr>
        <w:tabs>
          <w:tab w:val="left" w:pos="691"/>
        </w:tabs>
        <w:spacing w:beforeLines="50" w:before="120" w:after="120"/>
        <w:rPr>
          <w:lang w:val="en-US" w:eastAsia="zh-CN"/>
        </w:rPr>
      </w:pPr>
      <w:r>
        <w:rPr>
          <w:rFonts w:hint="eastAsia"/>
          <w:lang w:val="en-US" w:eastAsia="zh-CN"/>
        </w:rPr>
        <w:t>A</w:t>
      </w:r>
      <w:r>
        <w:rPr>
          <w:lang w:val="en-US" w:eastAsia="zh-CN"/>
        </w:rPr>
        <w:t>ccording to the previous discussion, the definition of supported A-IoT area has the following options.</w:t>
      </w:r>
    </w:p>
    <w:p>
      <w:pPr>
        <w:pStyle w:val="af4"/>
        <w:numPr>
          <w:ilvl w:val="0"/>
          <w:numId w:val="34"/>
        </w:numPr>
        <w:tabs>
          <w:tab w:val="left" w:pos="691"/>
        </w:tabs>
        <w:spacing w:beforeLines="50" w:before="120" w:after="120"/>
        <w:ind w:firstLineChars="0"/>
        <w:rPr>
          <w:lang w:val="en-US" w:eastAsia="zh-CN"/>
        </w:rPr>
      </w:pPr>
      <w:r>
        <w:rPr>
          <w:lang w:val="en-US" w:eastAsia="zh-CN"/>
        </w:rPr>
        <w:t>Option 1: Extend TAC value to include the supported A-IoT area, i.e., the Supported TA List includes both existing TAC for NR service and new TAC for AIoT service.</w:t>
      </w:r>
    </w:p>
    <w:p>
      <w:pPr>
        <w:pStyle w:val="af4"/>
        <w:numPr>
          <w:ilvl w:val="0"/>
          <w:numId w:val="34"/>
        </w:numPr>
        <w:tabs>
          <w:tab w:val="left" w:pos="691"/>
        </w:tabs>
        <w:spacing w:beforeLines="50" w:before="120" w:after="120"/>
        <w:ind w:firstLineChars="0"/>
        <w:rPr>
          <w:lang w:val="en-US" w:eastAsia="zh-CN"/>
        </w:rPr>
      </w:pPr>
      <w:r>
        <w:rPr>
          <w:lang w:val="en-US" w:eastAsia="zh-CN"/>
        </w:rPr>
        <w:t>Option 2: Define a new Supported AIoT area, i.e., define the Supported AIoT area as below.</w:t>
      </w:r>
    </w:p>
    <w:p>
      <w:pPr>
        <w:tabs>
          <w:tab w:val="left" w:pos="691"/>
        </w:tabs>
        <w:spacing w:beforeLines="50" w:before="120" w:after="120"/>
        <w:ind w:leftChars="800" w:left="1600"/>
        <w:rPr>
          <w:color w:val="0070C0"/>
          <w:lang w:val="en-US" w:eastAsia="zh-CN"/>
        </w:rPr>
      </w:pPr>
      <w:bookmarkStart w:id="5" w:name="_Toc20955309"/>
      <w:bookmarkStart w:id="6" w:name="_Toc29503760"/>
      <w:bookmarkStart w:id="7" w:name="_Toc29504344"/>
      <w:bookmarkStart w:id="8" w:name="_Toc29504928"/>
      <w:bookmarkStart w:id="9" w:name="_Toc36553380"/>
      <w:bookmarkStart w:id="10" w:name="_Toc36555107"/>
      <w:bookmarkStart w:id="11" w:name="_Toc45652486"/>
      <w:bookmarkStart w:id="12" w:name="_Toc45658918"/>
      <w:bookmarkStart w:id="13" w:name="_Toc45720738"/>
      <w:bookmarkStart w:id="14" w:name="_Toc45798616"/>
      <w:bookmarkStart w:id="15" w:name="_Toc45898005"/>
      <w:bookmarkStart w:id="16" w:name="_Toc51746210"/>
      <w:bookmarkStart w:id="17" w:name="_Toc64446474"/>
      <w:bookmarkStart w:id="18" w:name="_Toc73982344"/>
      <w:bookmarkStart w:id="19" w:name="_Toc88652434"/>
      <w:bookmarkStart w:id="20" w:name="_Toc97891478"/>
      <w:bookmarkStart w:id="21" w:name="_Toc99123660"/>
      <w:bookmarkStart w:id="22" w:name="_Toc99662466"/>
      <w:bookmarkStart w:id="23" w:name="_Toc105152544"/>
      <w:bookmarkStart w:id="24" w:name="_Toc105174350"/>
      <w:bookmarkStart w:id="25" w:name="_Toc106109348"/>
      <w:bookmarkStart w:id="26" w:name="_Toc107409806"/>
      <w:bookmarkStart w:id="27" w:name="_Toc112756995"/>
      <w:bookmarkStart w:id="28" w:name="_Toc192842408"/>
      <w:r>
        <w:rPr>
          <w:color w:val="0070C0"/>
          <w:lang w:val="en-US" w:eastAsia="zh-CN"/>
        </w:rPr>
        <w:lastRenderedPageBreak/>
        <w:t>9.3.3.xx</w:t>
      </w:r>
      <w:r>
        <w:rPr>
          <w:color w:val="0070C0"/>
          <w:lang w:val="en-US" w:eastAsia="zh-CN"/>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color w:val="0070C0"/>
          <w:lang w:val="en-US" w:eastAsia="zh-CN"/>
        </w:rPr>
        <w:t>A-IoT Service Area Code</w:t>
      </w:r>
    </w:p>
    <w:p>
      <w:pPr>
        <w:tabs>
          <w:tab w:val="left" w:pos="691"/>
        </w:tabs>
        <w:spacing w:beforeLines="50" w:before="120" w:after="120"/>
        <w:ind w:leftChars="800" w:left="1600"/>
        <w:rPr>
          <w:lang w:val="en-US" w:eastAsia="zh-CN"/>
        </w:rPr>
      </w:pPr>
      <w:r>
        <w:rPr>
          <w:color w:val="0070C0"/>
          <w:lang w:val="en-US" w:eastAsia="zh-CN"/>
        </w:rPr>
        <w:t>This IE is used to uniquely identify an A-IoT area Code.</w:t>
      </w:r>
    </w:p>
    <w:tbl>
      <w:tblPr>
        <w:tblW w:w="7042" w:type="dxa"/>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992"/>
        <w:gridCol w:w="709"/>
        <w:gridCol w:w="2118"/>
        <w:gridCol w:w="1843"/>
      </w:tblGrid>
      <w:tr>
        <w:tc>
          <w:tcPr>
            <w:tcW w:w="1380" w:type="dxa"/>
          </w:tcPr>
          <w:p>
            <w:pPr>
              <w:pStyle w:val="TAH"/>
              <w:rPr>
                <w:rFonts w:cs="Arial"/>
                <w:b w:val="0"/>
                <w:color w:val="0070C0"/>
                <w:sz w:val="16"/>
                <w:lang w:eastAsia="ja-JP"/>
              </w:rPr>
            </w:pPr>
            <w:r>
              <w:rPr>
                <w:rFonts w:cs="Arial"/>
                <w:b w:val="0"/>
                <w:color w:val="0070C0"/>
                <w:sz w:val="16"/>
                <w:lang w:eastAsia="ja-JP"/>
              </w:rPr>
              <w:t>IE/Group Name</w:t>
            </w:r>
          </w:p>
        </w:tc>
        <w:tc>
          <w:tcPr>
            <w:tcW w:w="992" w:type="dxa"/>
          </w:tcPr>
          <w:p>
            <w:pPr>
              <w:pStyle w:val="TAH"/>
              <w:rPr>
                <w:rFonts w:cs="Arial"/>
                <w:b w:val="0"/>
                <w:color w:val="0070C0"/>
                <w:sz w:val="16"/>
                <w:lang w:eastAsia="ja-JP"/>
              </w:rPr>
            </w:pPr>
            <w:r>
              <w:rPr>
                <w:rFonts w:cs="Arial"/>
                <w:b w:val="0"/>
                <w:color w:val="0070C0"/>
                <w:sz w:val="16"/>
                <w:lang w:eastAsia="ja-JP"/>
              </w:rPr>
              <w:t>Presence</w:t>
            </w:r>
          </w:p>
        </w:tc>
        <w:tc>
          <w:tcPr>
            <w:tcW w:w="709" w:type="dxa"/>
          </w:tcPr>
          <w:p>
            <w:pPr>
              <w:pStyle w:val="TAH"/>
              <w:rPr>
                <w:rFonts w:cs="Arial"/>
                <w:b w:val="0"/>
                <w:color w:val="0070C0"/>
                <w:sz w:val="16"/>
                <w:lang w:eastAsia="ja-JP"/>
              </w:rPr>
            </w:pPr>
            <w:r>
              <w:rPr>
                <w:rFonts w:cs="Arial"/>
                <w:b w:val="0"/>
                <w:color w:val="0070C0"/>
                <w:sz w:val="16"/>
                <w:lang w:eastAsia="ja-JP"/>
              </w:rPr>
              <w:t>Range</w:t>
            </w:r>
          </w:p>
        </w:tc>
        <w:tc>
          <w:tcPr>
            <w:tcW w:w="2118" w:type="dxa"/>
          </w:tcPr>
          <w:p>
            <w:pPr>
              <w:pStyle w:val="TAH"/>
              <w:rPr>
                <w:rFonts w:cs="Arial"/>
                <w:b w:val="0"/>
                <w:color w:val="0070C0"/>
                <w:sz w:val="16"/>
                <w:lang w:eastAsia="ja-JP"/>
              </w:rPr>
            </w:pPr>
            <w:r>
              <w:rPr>
                <w:rFonts w:cs="Arial"/>
                <w:b w:val="0"/>
                <w:color w:val="0070C0"/>
                <w:sz w:val="16"/>
                <w:lang w:eastAsia="ja-JP"/>
              </w:rPr>
              <w:t>IE type and reference</w:t>
            </w:r>
          </w:p>
        </w:tc>
        <w:tc>
          <w:tcPr>
            <w:tcW w:w="1843" w:type="dxa"/>
          </w:tcPr>
          <w:p>
            <w:pPr>
              <w:pStyle w:val="TAH"/>
              <w:rPr>
                <w:rFonts w:cs="Arial"/>
                <w:b w:val="0"/>
                <w:color w:val="0070C0"/>
                <w:sz w:val="16"/>
                <w:lang w:eastAsia="ja-JP"/>
              </w:rPr>
            </w:pPr>
            <w:r>
              <w:rPr>
                <w:rFonts w:cs="Arial"/>
                <w:b w:val="0"/>
                <w:color w:val="0070C0"/>
                <w:sz w:val="16"/>
                <w:lang w:eastAsia="ja-JP"/>
              </w:rPr>
              <w:t>Semantics description</w:t>
            </w:r>
          </w:p>
        </w:tc>
      </w:tr>
      <w:tr>
        <w:tc>
          <w:tcPr>
            <w:tcW w:w="1380" w:type="dxa"/>
          </w:tcPr>
          <w:p>
            <w:pPr>
              <w:pStyle w:val="TAL"/>
              <w:rPr>
                <w:rFonts w:eastAsia="Batang" w:cs="Arial"/>
                <w:color w:val="0070C0"/>
                <w:sz w:val="16"/>
                <w:lang w:eastAsia="ja-JP"/>
              </w:rPr>
            </w:pPr>
            <w:r>
              <w:rPr>
                <w:rFonts w:eastAsia="Batang" w:cs="Arial"/>
                <w:color w:val="0070C0"/>
                <w:sz w:val="16"/>
                <w:lang w:eastAsia="ja-JP"/>
              </w:rPr>
              <w:t>AIOT service Area Code</w:t>
            </w:r>
          </w:p>
        </w:tc>
        <w:tc>
          <w:tcPr>
            <w:tcW w:w="992" w:type="dxa"/>
          </w:tcPr>
          <w:p>
            <w:pPr>
              <w:pStyle w:val="TAL"/>
              <w:rPr>
                <w:rFonts w:cs="Arial"/>
                <w:color w:val="0070C0"/>
                <w:sz w:val="16"/>
                <w:lang w:eastAsia="ja-JP"/>
              </w:rPr>
            </w:pPr>
            <w:r>
              <w:rPr>
                <w:rFonts w:cs="Arial"/>
                <w:color w:val="0070C0"/>
                <w:sz w:val="16"/>
                <w:lang w:eastAsia="ja-JP"/>
              </w:rPr>
              <w:t>M</w:t>
            </w:r>
          </w:p>
        </w:tc>
        <w:tc>
          <w:tcPr>
            <w:tcW w:w="709" w:type="dxa"/>
          </w:tcPr>
          <w:p>
            <w:pPr>
              <w:pStyle w:val="TAL"/>
              <w:rPr>
                <w:i/>
                <w:color w:val="0070C0"/>
                <w:sz w:val="16"/>
                <w:lang w:eastAsia="ja-JP"/>
              </w:rPr>
            </w:pPr>
          </w:p>
        </w:tc>
        <w:tc>
          <w:tcPr>
            <w:tcW w:w="2118" w:type="dxa"/>
          </w:tcPr>
          <w:p>
            <w:pPr>
              <w:pStyle w:val="TAL"/>
              <w:rPr>
                <w:color w:val="0070C0"/>
                <w:sz w:val="16"/>
                <w:lang w:eastAsia="ja-JP"/>
              </w:rPr>
            </w:pPr>
            <w:r>
              <w:rPr>
                <w:color w:val="0070C0"/>
                <w:sz w:val="16"/>
                <w:lang w:eastAsia="ja-JP"/>
              </w:rPr>
              <w:t>OCTET STRING (SIZE(3))</w:t>
            </w:r>
          </w:p>
        </w:tc>
        <w:tc>
          <w:tcPr>
            <w:tcW w:w="1843" w:type="dxa"/>
          </w:tcPr>
          <w:p>
            <w:pPr>
              <w:pStyle w:val="TAL"/>
              <w:rPr>
                <w:color w:val="0070C0"/>
                <w:sz w:val="16"/>
                <w:lang w:eastAsia="ja-JP"/>
              </w:rPr>
            </w:pPr>
          </w:p>
        </w:tc>
      </w:tr>
    </w:tbl>
    <w:p>
      <w:pPr>
        <w:pStyle w:val="af4"/>
        <w:numPr>
          <w:ilvl w:val="0"/>
          <w:numId w:val="34"/>
        </w:numPr>
        <w:tabs>
          <w:tab w:val="left" w:pos="691"/>
        </w:tabs>
        <w:spacing w:beforeLines="50" w:before="120" w:after="120"/>
        <w:ind w:firstLineChars="0"/>
        <w:rPr>
          <w:lang w:val="en-US" w:eastAsia="zh-CN"/>
        </w:rPr>
      </w:pPr>
      <w:r>
        <w:rPr>
          <w:rFonts w:hint="eastAsia"/>
          <w:lang w:val="en-US" w:eastAsia="zh-CN"/>
        </w:rPr>
        <w:t>O</w:t>
      </w:r>
      <w:r>
        <w:rPr>
          <w:lang w:val="en-US" w:eastAsia="zh-CN"/>
        </w:rPr>
        <w:t>ption 3: Reader list</w:t>
      </w:r>
    </w:p>
    <w:p>
      <w:pPr>
        <w:tabs>
          <w:tab w:val="left" w:pos="691"/>
        </w:tabs>
        <w:spacing w:beforeLines="50" w:before="120" w:after="120"/>
        <w:rPr>
          <w:lang w:val="en-US" w:eastAsia="zh-CN"/>
        </w:rPr>
      </w:pPr>
      <w:r>
        <w:rPr>
          <w:lang w:val="en-US" w:eastAsia="zh-CN"/>
        </w:rPr>
        <w:t>In R19, the reader is static, the option 3 is feasible. However, in R20, the UE as reader is movable. So, for the future proof, the option 3 is not always feasible.</w:t>
      </w:r>
    </w:p>
    <w:p>
      <w:pPr>
        <w:tabs>
          <w:tab w:val="left" w:pos="691"/>
        </w:tabs>
        <w:spacing w:beforeLines="50" w:before="120" w:after="120"/>
        <w:rPr>
          <w:b/>
          <w:lang w:val="en-US" w:eastAsia="zh-CN"/>
        </w:rPr>
      </w:pPr>
      <w:r>
        <w:rPr>
          <w:b/>
          <w:lang w:val="en-US" w:eastAsia="zh-CN"/>
        </w:rPr>
        <w:t>Proposal 1: Option 3 (i.e., the supported A-IoT area is defined by reader list) is excluded.</w:t>
      </w:r>
    </w:p>
    <w:p>
      <w:pPr>
        <w:tabs>
          <w:tab w:val="left" w:pos="691"/>
        </w:tabs>
        <w:spacing w:beforeLines="50" w:before="120" w:after="120"/>
        <w:rPr>
          <w:lang w:val="en-US" w:eastAsia="zh-CN"/>
        </w:rPr>
      </w:pPr>
      <w:r>
        <w:rPr>
          <w:lang w:val="en-US" w:eastAsia="zh-CN"/>
        </w:rPr>
        <w:t>Both option 1 and option 2 are similar to define a large number code values to include the supported A-IoT area. Moreover, the option 2 is much easier to extend the code values than option 1.</w:t>
      </w:r>
    </w:p>
    <w:p>
      <w:pPr>
        <w:tabs>
          <w:tab w:val="left" w:pos="691"/>
        </w:tabs>
        <w:spacing w:beforeLines="50" w:before="120" w:after="120"/>
        <w:rPr>
          <w:b/>
          <w:lang w:val="en-US" w:eastAsia="zh-CN"/>
        </w:rPr>
      </w:pPr>
      <w:r>
        <w:rPr>
          <w:b/>
          <w:lang w:val="en-US" w:eastAsia="zh-CN"/>
        </w:rPr>
        <w:t>Proposal 2: Define the supported AIoT area by a new type of area.</w:t>
      </w:r>
    </w:p>
    <w:p>
      <w:pPr>
        <w:tabs>
          <w:tab w:val="left" w:pos="691"/>
        </w:tabs>
        <w:spacing w:beforeLines="50" w:before="120" w:after="120"/>
        <w:rPr>
          <w:lang w:val="en-US" w:eastAsia="zh-CN"/>
        </w:rPr>
      </w:pPr>
      <w:r>
        <w:rPr>
          <w:lang w:val="en-US" w:eastAsia="zh-CN"/>
        </w:rPr>
        <w:t>Similar to NR service area, the supported A-IoT area can be large or small. For the future proof, reader can be both TRP and UE, the device can both type 1 and type 2, one reader can be part of one supported AIoT area or multiple supported A-IoT areas.</w:t>
      </w:r>
    </w:p>
    <w:p>
      <w:pPr>
        <w:tabs>
          <w:tab w:val="left" w:pos="691"/>
        </w:tabs>
        <w:spacing w:beforeLines="50" w:before="120" w:after="120"/>
        <w:rPr>
          <w:b/>
          <w:lang w:val="en-US" w:eastAsia="zh-CN"/>
        </w:rPr>
      </w:pPr>
      <w:r>
        <w:rPr>
          <w:b/>
          <w:lang w:val="en-US" w:eastAsia="zh-CN"/>
        </w:rPr>
        <w:t>Proposal 3: One reader can be part of one supported AIoT area or multiple supported A-IoT areas.</w:t>
      </w:r>
    </w:p>
    <w:p>
      <w:pPr>
        <w:pStyle w:val="20"/>
        <w:numPr>
          <w:ilvl w:val="1"/>
          <w:numId w:val="3"/>
        </w:numPr>
        <w:rPr>
          <w:lang w:val="en-US" w:eastAsia="zh-CN"/>
        </w:rPr>
      </w:pPr>
      <w:r>
        <w:rPr>
          <w:lang w:val="en-US" w:eastAsia="zh-CN"/>
        </w:rPr>
        <w:t>Introduce the Transaction ID</w:t>
      </w:r>
    </w:p>
    <w:p>
      <w:pPr>
        <w:pStyle w:val="27"/>
        <w:numPr>
          <w:ilvl w:val="0"/>
          <w:numId w:val="31"/>
        </w:numPr>
        <w:autoSpaceDN/>
        <w:spacing w:before="0" w:beforeAutospacing="0" w:after="0" w:line="360" w:lineRule="auto"/>
        <w:ind w:leftChars="300" w:left="960"/>
        <w:rPr>
          <w:rFonts w:ascii="Calibri" w:hAnsi="Calibri" w:cs="Calibri"/>
          <w:color w:val="FF0000"/>
          <w:sz w:val="18"/>
          <w:szCs w:val="16"/>
        </w:rPr>
      </w:pPr>
      <w:r>
        <w:rPr>
          <w:rFonts w:ascii="Calibri" w:hAnsi="Calibri" w:cs="Calibri"/>
          <w:color w:val="FF0000"/>
          <w:sz w:val="18"/>
          <w:szCs w:val="16"/>
        </w:rPr>
        <w:t>It is FFS whether to introduce the Device Association or a transaction ID, outside of the Transfer IEs, to allow parallel Command Request procedures for different devices between gNB and AMF.</w:t>
      </w:r>
    </w:p>
    <w:p>
      <w:pPr>
        <w:pStyle w:val="4"/>
        <w:ind w:leftChars="300" w:left="2018"/>
        <w:rPr>
          <w:color w:val="0070C0"/>
          <w:sz w:val="21"/>
          <w:lang w:eastAsia="ko-KR"/>
        </w:rPr>
      </w:pPr>
      <w:r>
        <w:rPr>
          <w:color w:val="0070C0"/>
          <w:sz w:val="21"/>
          <w:lang w:eastAsia="ko-KR"/>
        </w:rPr>
        <w:t>[</w:t>
      </w:r>
      <w:r>
        <w:rPr>
          <w:color w:val="0070C0"/>
          <w:sz w:val="21"/>
          <w:shd w:val="pct15" w:color="auto" w:fill="FFFFFF"/>
          <w:lang w:eastAsia="ko-KR"/>
        </w:rPr>
        <w:t>BLCR to TS38.413</w:t>
      </w:r>
      <w:r>
        <w:rPr>
          <w:color w:val="0070C0"/>
          <w:sz w:val="21"/>
          <w:lang w:eastAsia="ko-KR"/>
        </w:rPr>
        <w:t>] 9.2.x.5</w:t>
      </w:r>
      <w:r>
        <w:rPr>
          <w:color w:val="0070C0"/>
          <w:sz w:val="21"/>
          <w:lang w:eastAsia="ko-KR"/>
        </w:rPr>
        <w:tab/>
        <w:t>COMMAND REQUEST</w:t>
      </w:r>
    </w:p>
    <w:p>
      <w:pPr>
        <w:ind w:leftChars="300" w:left="600"/>
        <w:rPr>
          <w:noProof/>
          <w:color w:val="0070C0"/>
          <w:sz w:val="16"/>
          <w:lang w:eastAsia="zh-CN"/>
        </w:rPr>
      </w:pPr>
      <w:r>
        <w:rPr>
          <w:noProof/>
          <w:color w:val="0070C0"/>
          <w:sz w:val="16"/>
          <w:lang w:eastAsia="zh-CN"/>
        </w:rPr>
        <w:t>This message is sent by the A-IoT CN node to the gNB to trigger the command transmission over the A-IoT radio.</w:t>
      </w:r>
    </w:p>
    <w:p>
      <w:pPr>
        <w:ind w:leftChars="300" w:left="600"/>
        <w:rPr>
          <w:noProof/>
          <w:color w:val="0070C0"/>
          <w:sz w:val="16"/>
          <w:lang w:eastAsia="zh-CN"/>
        </w:rPr>
      </w:pPr>
      <w:r>
        <w:rPr>
          <w:noProof/>
          <w:color w:val="0070C0"/>
          <w:sz w:val="16"/>
          <w:lang w:eastAsia="zh-CN"/>
        </w:rPr>
        <w:t xml:space="preserve">Direction: A-IoT CN node </w:t>
      </w:r>
      <w:r>
        <w:rPr>
          <w:noProof/>
          <w:color w:val="0070C0"/>
          <w:sz w:val="16"/>
          <w:lang w:eastAsia="zh-CN"/>
        </w:rPr>
        <w:sym w:font="Symbol" w:char="F0AE"/>
      </w:r>
      <w:r>
        <w:rPr>
          <w:noProof/>
          <w:color w:val="0070C0"/>
          <w:sz w:val="16"/>
          <w:lang w:eastAsia="zh-CN"/>
        </w:rPr>
        <w:t xml:space="preserve"> NG-RAN node</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989"/>
        <w:gridCol w:w="842"/>
        <w:gridCol w:w="1142"/>
        <w:gridCol w:w="1843"/>
        <w:gridCol w:w="850"/>
        <w:gridCol w:w="1134"/>
      </w:tblGrid>
      <w:tr>
        <w:trPr>
          <w:tblHeader/>
        </w:trPr>
        <w:tc>
          <w:tcPr>
            <w:tcW w:w="1563" w:type="dxa"/>
          </w:tcPr>
          <w:p>
            <w:pPr>
              <w:pStyle w:val="TAH"/>
              <w:rPr>
                <w:noProof/>
                <w:color w:val="0070C0"/>
                <w:sz w:val="15"/>
              </w:rPr>
            </w:pPr>
            <w:r>
              <w:rPr>
                <w:noProof/>
                <w:color w:val="0070C0"/>
                <w:sz w:val="15"/>
              </w:rPr>
              <w:t>IE/Group Name</w:t>
            </w:r>
          </w:p>
        </w:tc>
        <w:tc>
          <w:tcPr>
            <w:tcW w:w="989" w:type="dxa"/>
          </w:tcPr>
          <w:p>
            <w:pPr>
              <w:pStyle w:val="TAH"/>
              <w:rPr>
                <w:noProof/>
                <w:color w:val="0070C0"/>
                <w:sz w:val="15"/>
              </w:rPr>
            </w:pPr>
            <w:r>
              <w:rPr>
                <w:noProof/>
                <w:color w:val="0070C0"/>
                <w:sz w:val="15"/>
              </w:rPr>
              <w:t>Presence</w:t>
            </w:r>
          </w:p>
        </w:tc>
        <w:tc>
          <w:tcPr>
            <w:tcW w:w="842" w:type="dxa"/>
          </w:tcPr>
          <w:p>
            <w:pPr>
              <w:pStyle w:val="TAH"/>
              <w:rPr>
                <w:noProof/>
                <w:color w:val="0070C0"/>
                <w:sz w:val="15"/>
              </w:rPr>
            </w:pPr>
            <w:r>
              <w:rPr>
                <w:noProof/>
                <w:color w:val="0070C0"/>
                <w:sz w:val="15"/>
              </w:rPr>
              <w:t>Range</w:t>
            </w:r>
          </w:p>
        </w:tc>
        <w:tc>
          <w:tcPr>
            <w:tcW w:w="1142" w:type="dxa"/>
          </w:tcPr>
          <w:p>
            <w:pPr>
              <w:pStyle w:val="TAH"/>
              <w:rPr>
                <w:noProof/>
                <w:color w:val="0070C0"/>
                <w:sz w:val="15"/>
              </w:rPr>
            </w:pPr>
            <w:r>
              <w:rPr>
                <w:noProof/>
                <w:color w:val="0070C0"/>
                <w:sz w:val="15"/>
              </w:rPr>
              <w:t>IE type and reference</w:t>
            </w:r>
          </w:p>
        </w:tc>
        <w:tc>
          <w:tcPr>
            <w:tcW w:w="1843" w:type="dxa"/>
          </w:tcPr>
          <w:p>
            <w:pPr>
              <w:pStyle w:val="TAH"/>
              <w:rPr>
                <w:noProof/>
                <w:color w:val="0070C0"/>
                <w:sz w:val="15"/>
              </w:rPr>
            </w:pPr>
            <w:r>
              <w:rPr>
                <w:noProof/>
                <w:color w:val="0070C0"/>
                <w:sz w:val="15"/>
              </w:rPr>
              <w:t>Semantics description</w:t>
            </w:r>
          </w:p>
        </w:tc>
        <w:tc>
          <w:tcPr>
            <w:tcW w:w="850" w:type="dxa"/>
          </w:tcPr>
          <w:p>
            <w:pPr>
              <w:pStyle w:val="TAH"/>
              <w:rPr>
                <w:noProof/>
                <w:color w:val="0070C0"/>
                <w:sz w:val="15"/>
              </w:rPr>
            </w:pPr>
            <w:r>
              <w:rPr>
                <w:noProof/>
                <w:color w:val="0070C0"/>
                <w:sz w:val="15"/>
              </w:rPr>
              <w:t>Criticality</w:t>
            </w:r>
          </w:p>
        </w:tc>
        <w:tc>
          <w:tcPr>
            <w:tcW w:w="1134" w:type="dxa"/>
          </w:tcPr>
          <w:p>
            <w:pPr>
              <w:pStyle w:val="TAH"/>
              <w:rPr>
                <w:noProof/>
                <w:color w:val="0070C0"/>
                <w:sz w:val="15"/>
              </w:rPr>
            </w:pPr>
            <w:r>
              <w:rPr>
                <w:noProof/>
                <w:color w:val="0070C0"/>
                <w:sz w:val="15"/>
              </w:rPr>
              <w:t>Assigned Criticality</w:t>
            </w:r>
          </w:p>
        </w:tc>
      </w:tr>
      <w:tr>
        <w:tc>
          <w:tcPr>
            <w:tcW w:w="1563" w:type="dxa"/>
          </w:tcPr>
          <w:p>
            <w:pPr>
              <w:pStyle w:val="TAL"/>
              <w:rPr>
                <w:noProof/>
                <w:color w:val="0070C0"/>
                <w:sz w:val="15"/>
              </w:rPr>
            </w:pPr>
            <w:r>
              <w:rPr>
                <w:noProof/>
                <w:color w:val="0070C0"/>
                <w:sz w:val="15"/>
              </w:rPr>
              <w:t>Message Type</w:t>
            </w:r>
          </w:p>
        </w:tc>
        <w:tc>
          <w:tcPr>
            <w:tcW w:w="989" w:type="dxa"/>
          </w:tcPr>
          <w:p>
            <w:pPr>
              <w:pStyle w:val="TAL"/>
              <w:rPr>
                <w:noProof/>
                <w:color w:val="0070C0"/>
                <w:sz w:val="15"/>
              </w:rPr>
            </w:pPr>
            <w:r>
              <w:rPr>
                <w:noProof/>
                <w:color w:val="0070C0"/>
                <w:sz w:val="15"/>
              </w:rPr>
              <w:t>M</w:t>
            </w:r>
          </w:p>
        </w:tc>
        <w:tc>
          <w:tcPr>
            <w:tcW w:w="842" w:type="dxa"/>
          </w:tcPr>
          <w:p>
            <w:pPr>
              <w:pStyle w:val="TAL"/>
              <w:rPr>
                <w:color w:val="0070C0"/>
                <w:sz w:val="15"/>
              </w:rPr>
            </w:pPr>
          </w:p>
        </w:tc>
        <w:tc>
          <w:tcPr>
            <w:tcW w:w="1142" w:type="dxa"/>
          </w:tcPr>
          <w:p>
            <w:pPr>
              <w:pStyle w:val="TAL"/>
              <w:rPr>
                <w:noProof/>
                <w:color w:val="0070C0"/>
                <w:sz w:val="15"/>
                <w:lang w:eastAsia="zh-CN"/>
              </w:rPr>
            </w:pPr>
            <w:r>
              <w:rPr>
                <w:rFonts w:hint="eastAsia"/>
                <w:noProof/>
                <w:color w:val="0070C0"/>
                <w:sz w:val="15"/>
                <w:lang w:eastAsia="zh-CN"/>
              </w:rPr>
              <w:t>9.3.1.1</w:t>
            </w:r>
          </w:p>
        </w:tc>
        <w:tc>
          <w:tcPr>
            <w:tcW w:w="1843" w:type="dxa"/>
          </w:tcPr>
          <w:p>
            <w:pPr>
              <w:pStyle w:val="TAL"/>
              <w:rPr>
                <w:noProof/>
                <w:color w:val="0070C0"/>
                <w:sz w:val="15"/>
              </w:rPr>
            </w:pPr>
          </w:p>
        </w:tc>
        <w:tc>
          <w:tcPr>
            <w:tcW w:w="850" w:type="dxa"/>
          </w:tcPr>
          <w:p>
            <w:pPr>
              <w:pStyle w:val="TAC"/>
              <w:rPr>
                <w:noProof/>
                <w:color w:val="0070C0"/>
                <w:sz w:val="15"/>
              </w:rPr>
            </w:pPr>
            <w:r>
              <w:rPr>
                <w:noProof/>
                <w:color w:val="0070C0"/>
                <w:sz w:val="15"/>
              </w:rPr>
              <w:t>YES</w:t>
            </w:r>
          </w:p>
        </w:tc>
        <w:tc>
          <w:tcPr>
            <w:tcW w:w="1134" w:type="dxa"/>
          </w:tcPr>
          <w:p>
            <w:pPr>
              <w:pStyle w:val="TAC"/>
              <w:rPr>
                <w:noProof/>
                <w:color w:val="0070C0"/>
                <w:sz w:val="15"/>
              </w:rPr>
            </w:pPr>
            <w:r>
              <w:rPr>
                <w:noProof/>
                <w:color w:val="0070C0"/>
                <w:sz w:val="15"/>
              </w:rPr>
              <w:t>reject</w:t>
            </w:r>
          </w:p>
        </w:tc>
      </w:tr>
      <w:tr>
        <w:tc>
          <w:tcPr>
            <w:tcW w:w="1563" w:type="dxa"/>
          </w:tcPr>
          <w:p>
            <w:pPr>
              <w:pStyle w:val="TAL"/>
              <w:rPr>
                <w:noProof/>
                <w:color w:val="0070C0"/>
                <w:sz w:val="15"/>
              </w:rPr>
            </w:pPr>
            <w:r>
              <w:rPr>
                <w:noProof/>
                <w:color w:val="0070C0"/>
                <w:sz w:val="15"/>
                <w:lang w:eastAsia="ko-KR"/>
              </w:rPr>
              <w:t>AIOTF Identifier</w:t>
            </w:r>
          </w:p>
        </w:tc>
        <w:tc>
          <w:tcPr>
            <w:tcW w:w="989" w:type="dxa"/>
          </w:tcPr>
          <w:p>
            <w:pPr>
              <w:pStyle w:val="TAL"/>
              <w:rPr>
                <w:noProof/>
                <w:color w:val="0070C0"/>
                <w:sz w:val="15"/>
              </w:rPr>
            </w:pPr>
            <w:r>
              <w:rPr>
                <w:noProof/>
                <w:color w:val="0070C0"/>
                <w:sz w:val="15"/>
                <w:lang w:eastAsia="zh-CN"/>
              </w:rPr>
              <w:t>M</w:t>
            </w:r>
          </w:p>
        </w:tc>
        <w:tc>
          <w:tcPr>
            <w:tcW w:w="842" w:type="dxa"/>
          </w:tcPr>
          <w:p>
            <w:pPr>
              <w:pStyle w:val="TAL"/>
              <w:rPr>
                <w:color w:val="0070C0"/>
                <w:sz w:val="15"/>
              </w:rPr>
            </w:pPr>
          </w:p>
        </w:tc>
        <w:tc>
          <w:tcPr>
            <w:tcW w:w="1142" w:type="dxa"/>
          </w:tcPr>
          <w:p>
            <w:pPr>
              <w:pStyle w:val="TAL"/>
              <w:rPr>
                <w:noProof/>
                <w:color w:val="0070C0"/>
                <w:sz w:val="15"/>
                <w:lang w:eastAsia="zh-CN"/>
              </w:rPr>
            </w:pPr>
            <w:r>
              <w:rPr>
                <w:noProof/>
                <w:color w:val="0070C0"/>
                <w:sz w:val="15"/>
                <w:lang w:eastAsia="zh-CN"/>
              </w:rPr>
              <w:t>9.3.3.xx2</w:t>
            </w:r>
          </w:p>
        </w:tc>
        <w:tc>
          <w:tcPr>
            <w:tcW w:w="1843" w:type="dxa"/>
          </w:tcPr>
          <w:p>
            <w:pPr>
              <w:pStyle w:val="TAL"/>
              <w:rPr>
                <w:noProof/>
                <w:color w:val="0070C0"/>
                <w:sz w:val="15"/>
              </w:rPr>
            </w:pPr>
          </w:p>
        </w:tc>
        <w:tc>
          <w:tcPr>
            <w:tcW w:w="850" w:type="dxa"/>
          </w:tcPr>
          <w:p>
            <w:pPr>
              <w:pStyle w:val="TAC"/>
              <w:rPr>
                <w:noProof/>
                <w:color w:val="0070C0"/>
                <w:sz w:val="15"/>
              </w:rPr>
            </w:pPr>
            <w:r>
              <w:rPr>
                <w:noProof/>
                <w:color w:val="0070C0"/>
                <w:sz w:val="15"/>
                <w:lang w:eastAsia="ko-KR"/>
              </w:rPr>
              <w:t>YES</w:t>
            </w:r>
          </w:p>
        </w:tc>
        <w:tc>
          <w:tcPr>
            <w:tcW w:w="1134" w:type="dxa"/>
          </w:tcPr>
          <w:p>
            <w:pPr>
              <w:pStyle w:val="TAC"/>
              <w:rPr>
                <w:noProof/>
                <w:color w:val="0070C0"/>
                <w:sz w:val="15"/>
              </w:rPr>
            </w:pPr>
            <w:r>
              <w:rPr>
                <w:noProof/>
                <w:color w:val="0070C0"/>
                <w:sz w:val="15"/>
                <w:lang w:eastAsia="ko-KR"/>
              </w:rPr>
              <w:t>reject</w:t>
            </w:r>
          </w:p>
        </w:tc>
      </w:tr>
      <w:tr>
        <w:tc>
          <w:tcPr>
            <w:tcW w:w="1563" w:type="dxa"/>
          </w:tcPr>
          <w:p>
            <w:pPr>
              <w:pStyle w:val="TAL"/>
              <w:rPr>
                <w:noProof/>
                <w:color w:val="0070C0"/>
                <w:sz w:val="15"/>
              </w:rPr>
            </w:pPr>
            <w:r>
              <w:rPr>
                <w:noProof/>
                <w:color w:val="0070C0"/>
                <w:sz w:val="15"/>
                <w:lang w:eastAsia="ko-KR"/>
              </w:rPr>
              <w:t xml:space="preserve">A-IoT </w:t>
            </w:r>
            <w:r>
              <w:rPr>
                <w:rFonts w:hint="eastAsia"/>
                <w:noProof/>
                <w:color w:val="0070C0"/>
                <w:sz w:val="15"/>
                <w:lang w:eastAsia="ko-KR"/>
              </w:rPr>
              <w:t>C</w:t>
            </w:r>
            <w:r>
              <w:rPr>
                <w:noProof/>
                <w:color w:val="0070C0"/>
                <w:sz w:val="15"/>
                <w:lang w:eastAsia="ko-KR"/>
              </w:rPr>
              <w:t>orrelation Identifier</w:t>
            </w:r>
          </w:p>
        </w:tc>
        <w:tc>
          <w:tcPr>
            <w:tcW w:w="989" w:type="dxa"/>
          </w:tcPr>
          <w:p>
            <w:pPr>
              <w:pStyle w:val="TAL"/>
              <w:rPr>
                <w:noProof/>
                <w:color w:val="0070C0"/>
                <w:sz w:val="15"/>
              </w:rPr>
            </w:pPr>
            <w:r>
              <w:rPr>
                <w:rFonts w:hint="eastAsia"/>
                <w:noProof/>
                <w:color w:val="0070C0"/>
                <w:sz w:val="15"/>
                <w:lang w:eastAsia="zh-CN"/>
              </w:rPr>
              <w:t>M</w:t>
            </w:r>
          </w:p>
        </w:tc>
        <w:tc>
          <w:tcPr>
            <w:tcW w:w="842" w:type="dxa"/>
          </w:tcPr>
          <w:p>
            <w:pPr>
              <w:pStyle w:val="TAL"/>
              <w:rPr>
                <w:color w:val="0070C0"/>
                <w:sz w:val="15"/>
              </w:rPr>
            </w:pPr>
          </w:p>
        </w:tc>
        <w:tc>
          <w:tcPr>
            <w:tcW w:w="1142" w:type="dxa"/>
          </w:tcPr>
          <w:p>
            <w:pPr>
              <w:pStyle w:val="TAL"/>
              <w:rPr>
                <w:noProof/>
                <w:color w:val="0070C0"/>
                <w:sz w:val="15"/>
                <w:lang w:eastAsia="zh-CN"/>
              </w:rPr>
            </w:pPr>
            <w:r>
              <w:rPr>
                <w:rFonts w:hint="eastAsia"/>
                <w:noProof/>
                <w:color w:val="0070C0"/>
                <w:sz w:val="15"/>
                <w:lang w:eastAsia="zh-CN"/>
              </w:rPr>
              <w:t>9</w:t>
            </w:r>
            <w:r>
              <w:rPr>
                <w:noProof/>
                <w:color w:val="0070C0"/>
                <w:sz w:val="15"/>
                <w:lang w:eastAsia="zh-CN"/>
              </w:rPr>
              <w:t>.3.3.</w:t>
            </w:r>
            <w:r>
              <w:rPr>
                <w:rFonts w:hint="eastAsia"/>
                <w:noProof/>
                <w:color w:val="0070C0"/>
                <w:sz w:val="15"/>
                <w:lang w:eastAsia="zh-CN"/>
              </w:rPr>
              <w:t>xx</w:t>
            </w:r>
            <w:r>
              <w:rPr>
                <w:noProof/>
                <w:color w:val="0070C0"/>
                <w:sz w:val="15"/>
                <w:lang w:eastAsia="zh-CN"/>
              </w:rPr>
              <w:t>1</w:t>
            </w:r>
          </w:p>
        </w:tc>
        <w:tc>
          <w:tcPr>
            <w:tcW w:w="1843" w:type="dxa"/>
          </w:tcPr>
          <w:p>
            <w:pPr>
              <w:pStyle w:val="TAL"/>
              <w:rPr>
                <w:noProof/>
                <w:color w:val="0070C0"/>
                <w:sz w:val="15"/>
              </w:rPr>
            </w:pPr>
          </w:p>
        </w:tc>
        <w:tc>
          <w:tcPr>
            <w:tcW w:w="850" w:type="dxa"/>
          </w:tcPr>
          <w:p>
            <w:pPr>
              <w:pStyle w:val="TAC"/>
              <w:rPr>
                <w:noProof/>
                <w:color w:val="0070C0"/>
                <w:sz w:val="15"/>
              </w:rPr>
            </w:pPr>
            <w:r>
              <w:rPr>
                <w:noProof/>
                <w:color w:val="0070C0"/>
                <w:sz w:val="15"/>
                <w:lang w:eastAsia="ko-KR"/>
              </w:rPr>
              <w:t>YES</w:t>
            </w:r>
          </w:p>
        </w:tc>
        <w:tc>
          <w:tcPr>
            <w:tcW w:w="1134" w:type="dxa"/>
          </w:tcPr>
          <w:p>
            <w:pPr>
              <w:pStyle w:val="TAC"/>
              <w:rPr>
                <w:noProof/>
                <w:color w:val="0070C0"/>
                <w:sz w:val="15"/>
              </w:rPr>
            </w:pPr>
            <w:r>
              <w:rPr>
                <w:noProof/>
                <w:color w:val="0070C0"/>
                <w:sz w:val="15"/>
                <w:lang w:eastAsia="ko-KR"/>
              </w:rPr>
              <w:t>reject</w:t>
            </w:r>
          </w:p>
        </w:tc>
      </w:tr>
      <w:tr>
        <w:tc>
          <w:tcPr>
            <w:tcW w:w="1563" w:type="dxa"/>
          </w:tcPr>
          <w:p>
            <w:pPr>
              <w:pStyle w:val="TAL"/>
              <w:rPr>
                <w:noProof/>
                <w:color w:val="0070C0"/>
                <w:sz w:val="15"/>
              </w:rPr>
            </w:pPr>
            <w:r>
              <w:rPr>
                <w:noProof/>
                <w:color w:val="0070C0"/>
                <w:sz w:val="15"/>
              </w:rPr>
              <w:t>Command Request Transfer</w:t>
            </w:r>
          </w:p>
        </w:tc>
        <w:tc>
          <w:tcPr>
            <w:tcW w:w="989" w:type="dxa"/>
          </w:tcPr>
          <w:p>
            <w:pPr>
              <w:pStyle w:val="TAL"/>
              <w:rPr>
                <w:noProof/>
                <w:color w:val="0070C0"/>
                <w:sz w:val="15"/>
                <w:lang w:eastAsia="zh-CN"/>
              </w:rPr>
            </w:pPr>
            <w:r>
              <w:rPr>
                <w:rFonts w:hint="eastAsia"/>
                <w:noProof/>
                <w:color w:val="0070C0"/>
                <w:sz w:val="15"/>
                <w:lang w:eastAsia="zh-CN"/>
              </w:rPr>
              <w:t>M</w:t>
            </w:r>
          </w:p>
        </w:tc>
        <w:tc>
          <w:tcPr>
            <w:tcW w:w="842" w:type="dxa"/>
          </w:tcPr>
          <w:p>
            <w:pPr>
              <w:pStyle w:val="TAL"/>
              <w:rPr>
                <w:noProof/>
                <w:color w:val="0070C0"/>
                <w:sz w:val="15"/>
              </w:rPr>
            </w:pPr>
          </w:p>
        </w:tc>
        <w:tc>
          <w:tcPr>
            <w:tcW w:w="1142" w:type="dxa"/>
          </w:tcPr>
          <w:p>
            <w:pPr>
              <w:pStyle w:val="TAL"/>
              <w:rPr>
                <w:noProof/>
                <w:color w:val="0070C0"/>
                <w:sz w:val="15"/>
                <w:lang w:eastAsia="zh-CN"/>
              </w:rPr>
            </w:pPr>
            <w:r>
              <w:rPr>
                <w:color w:val="0070C0"/>
                <w:sz w:val="15"/>
              </w:rPr>
              <w:t>OCTET STRING</w:t>
            </w:r>
          </w:p>
        </w:tc>
        <w:tc>
          <w:tcPr>
            <w:tcW w:w="1843" w:type="dxa"/>
          </w:tcPr>
          <w:p>
            <w:pPr>
              <w:pStyle w:val="TAL"/>
              <w:rPr>
                <w:noProof/>
                <w:color w:val="0070C0"/>
                <w:sz w:val="15"/>
                <w:lang w:eastAsia="zh-CN"/>
              </w:rPr>
            </w:pPr>
            <w:r>
              <w:rPr>
                <w:iCs/>
                <w:color w:val="0070C0"/>
                <w:sz w:val="15"/>
              </w:rPr>
              <w:t xml:space="preserve">Containing the </w:t>
            </w:r>
            <w:r>
              <w:rPr>
                <w:rFonts w:cs="Arial"/>
                <w:bCs/>
                <w:i/>
                <w:iCs/>
                <w:color w:val="0070C0"/>
                <w:sz w:val="15"/>
                <w:lang w:eastAsia="zh-CN"/>
              </w:rPr>
              <w:t>Command</w:t>
            </w:r>
            <w:r>
              <w:rPr>
                <w:rFonts w:cs="Arial"/>
                <w:bCs/>
                <w:i/>
                <w:iCs/>
                <w:color w:val="0070C0"/>
                <w:sz w:val="15"/>
              </w:rPr>
              <w:t xml:space="preserve"> Request Transfer</w:t>
            </w:r>
            <w:r>
              <w:rPr>
                <w:rFonts w:cs="Arial"/>
                <w:bCs/>
                <w:iCs/>
                <w:color w:val="0070C0"/>
                <w:sz w:val="15"/>
              </w:rPr>
              <w:t xml:space="preserve"> IE specified</w:t>
            </w:r>
            <w:r>
              <w:rPr>
                <w:iCs/>
                <w:color w:val="0070C0"/>
                <w:sz w:val="15"/>
              </w:rPr>
              <w:t xml:space="preserve"> in subclause 9.3.</w:t>
            </w:r>
            <w:r>
              <w:rPr>
                <w:iCs/>
                <w:color w:val="0070C0"/>
                <w:sz w:val="15"/>
                <w:lang w:eastAsia="zh-CN"/>
              </w:rPr>
              <w:t>6.5.</w:t>
            </w:r>
          </w:p>
        </w:tc>
        <w:tc>
          <w:tcPr>
            <w:tcW w:w="850" w:type="dxa"/>
          </w:tcPr>
          <w:p>
            <w:pPr>
              <w:pStyle w:val="TAC"/>
              <w:rPr>
                <w:noProof/>
                <w:color w:val="0070C0"/>
                <w:sz w:val="15"/>
              </w:rPr>
            </w:pPr>
            <w:r>
              <w:rPr>
                <w:noProof/>
                <w:color w:val="0070C0"/>
                <w:sz w:val="15"/>
              </w:rPr>
              <w:t>YES</w:t>
            </w:r>
          </w:p>
        </w:tc>
        <w:tc>
          <w:tcPr>
            <w:tcW w:w="1134" w:type="dxa"/>
          </w:tcPr>
          <w:p>
            <w:pPr>
              <w:pStyle w:val="TAC"/>
              <w:rPr>
                <w:noProof/>
                <w:color w:val="0070C0"/>
                <w:sz w:val="15"/>
              </w:rPr>
            </w:pPr>
            <w:r>
              <w:rPr>
                <w:noProof/>
                <w:color w:val="0070C0"/>
                <w:sz w:val="15"/>
              </w:rPr>
              <w:t>reject</w:t>
            </w:r>
          </w:p>
        </w:tc>
      </w:tr>
    </w:tbl>
    <w:p>
      <w:pPr>
        <w:tabs>
          <w:tab w:val="left" w:pos="691"/>
        </w:tabs>
        <w:spacing w:beforeLines="50" w:before="120" w:after="120"/>
        <w:rPr>
          <w:lang w:val="en-US" w:eastAsia="zh-CN"/>
        </w:rPr>
      </w:pPr>
    </w:p>
    <w:p>
      <w:pPr>
        <w:tabs>
          <w:tab w:val="left" w:pos="691"/>
        </w:tabs>
        <w:spacing w:beforeLines="50" w:before="120" w:after="120"/>
        <w:rPr>
          <w:lang w:val="en-US" w:eastAsia="zh-CN"/>
        </w:rPr>
      </w:pPr>
      <w:r>
        <w:rPr>
          <w:lang w:val="en-US" w:eastAsia="zh-CN"/>
        </w:rPr>
        <w:t>According to the current BLCR, parallel command procedures are configure with the same Correlation identifier. Then, if one command procedure is unsuccessful, both AMF and RAN node cannot differentiate it.</w:t>
      </w:r>
    </w:p>
    <w:p>
      <w:pPr>
        <w:tabs>
          <w:tab w:val="left" w:pos="691"/>
        </w:tabs>
        <w:spacing w:beforeLines="50" w:before="120" w:after="120"/>
        <w:rPr>
          <w:b/>
          <w:lang w:val="en-US" w:eastAsia="zh-CN"/>
        </w:rPr>
      </w:pPr>
      <w:r>
        <w:rPr>
          <w:b/>
          <w:lang w:val="en-US" w:eastAsia="zh-CN"/>
        </w:rPr>
        <w:t>Proposal 4: Introduce a transaction ID outside of the Transfer IEs to differentiate parallel command procedure.</w:t>
      </w:r>
    </w:p>
    <w:p>
      <w:pPr>
        <w:tabs>
          <w:tab w:val="left" w:pos="691"/>
        </w:tabs>
        <w:spacing w:beforeLines="50" w:before="120" w:after="120"/>
        <w:rPr>
          <w:lang w:val="en-US" w:eastAsia="zh-CN"/>
        </w:rPr>
      </w:pPr>
      <w:r>
        <w:rPr>
          <w:rFonts w:hint="eastAsia"/>
          <w:lang w:val="en-US" w:eastAsia="zh-CN"/>
        </w:rPr>
        <w:t>M</w:t>
      </w:r>
      <w:r>
        <w:rPr>
          <w:lang w:val="en-US" w:eastAsia="zh-CN"/>
        </w:rPr>
        <w:t xml:space="preserve">oreover, for the parallel Inventory report messages, we think the transaction ID is also needed. </w:t>
      </w:r>
    </w:p>
    <w:p>
      <w:pPr>
        <w:tabs>
          <w:tab w:val="left" w:pos="691"/>
        </w:tabs>
        <w:spacing w:beforeLines="50" w:before="120" w:after="120"/>
        <w:rPr>
          <w:b/>
          <w:lang w:val="en-US" w:eastAsia="zh-CN"/>
        </w:rPr>
      </w:pPr>
      <w:r>
        <w:rPr>
          <w:b/>
          <w:lang w:val="en-US" w:eastAsia="zh-CN"/>
        </w:rPr>
        <w:t>Observation 1: The parallel Inventory report procedures for different devices between gNB and AMF shall be supported.</w:t>
      </w:r>
    </w:p>
    <w:p>
      <w:pPr>
        <w:tabs>
          <w:tab w:val="left" w:pos="691"/>
        </w:tabs>
        <w:spacing w:beforeLines="50" w:before="120" w:after="120"/>
        <w:rPr>
          <w:lang w:val="en-US" w:eastAsia="zh-CN"/>
        </w:rPr>
      </w:pPr>
      <w:r>
        <w:rPr>
          <w:lang w:val="en-US" w:eastAsia="zh-CN"/>
        </w:rPr>
        <w:t>Meanwhile, if the AIOTF sends parallel Inventory request messages to one gNB including multiple readers, the transaction ID is also needed.</w:t>
      </w:r>
    </w:p>
    <w:p>
      <w:pPr>
        <w:tabs>
          <w:tab w:val="left" w:pos="691"/>
        </w:tabs>
        <w:spacing w:beforeLines="50" w:before="120" w:after="120"/>
        <w:rPr>
          <w:b/>
          <w:lang w:val="en-US" w:eastAsia="zh-CN"/>
        </w:rPr>
      </w:pPr>
      <w:r>
        <w:rPr>
          <w:b/>
          <w:lang w:val="en-US" w:eastAsia="zh-CN"/>
        </w:rPr>
        <w:t>Observation 2: The parallel Inventory request procedures for different readers within the same gNB between gNB and AMF shall be supported.</w:t>
      </w:r>
    </w:p>
    <w:p>
      <w:pPr>
        <w:tabs>
          <w:tab w:val="left" w:pos="691"/>
        </w:tabs>
        <w:spacing w:beforeLines="50" w:before="120" w:after="120"/>
        <w:rPr>
          <w:b/>
          <w:lang w:val="en-US" w:eastAsia="zh-CN"/>
        </w:rPr>
      </w:pPr>
      <w:r>
        <w:rPr>
          <w:b/>
          <w:lang w:val="en-US" w:eastAsia="zh-CN"/>
        </w:rPr>
        <w:t>Proposal 5: Introduce a transaction ID outside of the Transfer IEs to differentiate parallel Inventory report procedures.</w:t>
      </w:r>
    </w:p>
    <w:p>
      <w:pPr>
        <w:tabs>
          <w:tab w:val="left" w:pos="691"/>
        </w:tabs>
        <w:spacing w:beforeLines="50" w:before="120" w:after="120"/>
        <w:rPr>
          <w:b/>
          <w:lang w:val="en-US" w:eastAsia="zh-CN"/>
        </w:rPr>
      </w:pPr>
      <w:r>
        <w:rPr>
          <w:b/>
          <w:lang w:val="en-US" w:eastAsia="zh-CN"/>
        </w:rPr>
        <w:t>Proposal 6: Introduce a transaction ID outside of the Transfer IEs to differentiate parallel Inventory request procedures.</w:t>
      </w:r>
    </w:p>
    <w:p>
      <w:pPr>
        <w:tabs>
          <w:tab w:val="left" w:pos="691"/>
        </w:tabs>
        <w:spacing w:beforeLines="50" w:before="120" w:after="120"/>
        <w:rPr>
          <w:lang w:val="en-US" w:eastAsia="zh-CN"/>
        </w:rPr>
      </w:pPr>
    </w:p>
    <w:p>
      <w:pPr>
        <w:pStyle w:val="20"/>
        <w:numPr>
          <w:ilvl w:val="1"/>
          <w:numId w:val="3"/>
        </w:numPr>
        <w:rPr>
          <w:lang w:val="en-US" w:eastAsia="zh-CN"/>
        </w:rPr>
      </w:pPr>
      <w:r>
        <w:rPr>
          <w:rFonts w:hint="eastAsia"/>
          <w:lang w:val="en-US" w:eastAsia="zh-CN"/>
        </w:rPr>
        <w:lastRenderedPageBreak/>
        <w:t>O</w:t>
      </w:r>
      <w:r>
        <w:rPr>
          <w:lang w:val="en-US" w:eastAsia="zh-CN"/>
        </w:rPr>
        <w:t>ther small issues</w:t>
      </w:r>
    </w:p>
    <w:p>
      <w:pPr>
        <w:rPr>
          <w:lang w:val="en-US" w:eastAsia="zh-CN"/>
        </w:rPr>
      </w:pPr>
      <w:r>
        <w:rPr>
          <w:rFonts w:hint="eastAsia"/>
          <w:lang w:val="en-US" w:eastAsia="zh-CN"/>
        </w:rPr>
        <w:t>F</w:t>
      </w:r>
      <w:r>
        <w:rPr>
          <w:lang w:val="en-US" w:eastAsia="zh-CN"/>
        </w:rPr>
        <w:t>or the following FFS, we provide our view directly.</w:t>
      </w:r>
    </w:p>
    <w:p>
      <w:pPr>
        <w:pStyle w:val="af4"/>
        <w:numPr>
          <w:ilvl w:val="0"/>
          <w:numId w:val="34"/>
        </w:numPr>
        <w:tabs>
          <w:tab w:val="left" w:pos="691"/>
        </w:tabs>
        <w:spacing w:beforeLines="50" w:before="120" w:after="120"/>
        <w:ind w:firstLineChars="0"/>
        <w:rPr>
          <w:rFonts w:cs="Calibri"/>
          <w:color w:val="0000FF"/>
          <w:sz w:val="21"/>
          <w:szCs w:val="18"/>
          <w:u w:val="single"/>
        </w:rPr>
      </w:pPr>
      <w:r>
        <w:rPr>
          <w:rFonts w:ascii="Calibri" w:hAnsi="Calibri" w:cs="Calibri"/>
          <w:color w:val="FF0000"/>
          <w:szCs w:val="16"/>
          <w:u w:val="single"/>
        </w:rPr>
        <w:t>It is FFS whether the new A-IoT Area is encoded as GNSS info or new A-IoT Area ID.</w:t>
      </w:r>
      <w:r>
        <w:rPr>
          <w:rFonts w:cs="Calibri"/>
          <w:color w:val="0000FF"/>
          <w:sz w:val="21"/>
          <w:szCs w:val="18"/>
          <w:u w:val="single"/>
        </w:rPr>
        <w:t xml:space="preserve"> </w:t>
      </w:r>
    </w:p>
    <w:p>
      <w:pPr>
        <w:tabs>
          <w:tab w:val="left" w:pos="691"/>
        </w:tabs>
        <w:spacing w:beforeLines="50" w:before="120" w:after="120"/>
        <w:rPr>
          <w:b/>
          <w:lang w:val="en-US" w:eastAsia="zh-CN"/>
        </w:rPr>
      </w:pPr>
      <w:r>
        <w:rPr>
          <w:b/>
          <w:lang w:val="en-US" w:eastAsia="zh-CN"/>
        </w:rPr>
        <w:t>Proposal 7: No need to encode A-IoT area as GNSS info.</w:t>
      </w:r>
    </w:p>
    <w:p>
      <w:pPr>
        <w:tabs>
          <w:tab w:val="left" w:pos="691"/>
        </w:tabs>
        <w:spacing w:beforeLines="50" w:before="120" w:after="120"/>
        <w:rPr>
          <w:rFonts w:ascii="Calibri" w:hAnsi="Calibri" w:cs="Calibri"/>
          <w:color w:val="FF0000"/>
          <w:szCs w:val="16"/>
          <w:u w:val="single"/>
        </w:rPr>
      </w:pPr>
      <w:r>
        <w:rPr>
          <w:rFonts w:ascii="Calibri" w:hAnsi="Calibri" w:cs="Calibri"/>
          <w:color w:val="FF0000"/>
          <w:szCs w:val="16"/>
          <w:u w:val="single"/>
        </w:rPr>
        <w:t>It is FFS whether the Inventory Assistance Information includes the “Estimate of Expected D2R Message Size”</w:t>
      </w:r>
    </w:p>
    <w:p>
      <w:pPr>
        <w:tabs>
          <w:tab w:val="left" w:pos="691"/>
        </w:tabs>
        <w:spacing w:beforeLines="50" w:before="120" w:after="120"/>
        <w:rPr>
          <w:b/>
          <w:lang w:val="en-US" w:eastAsia="zh-CN"/>
        </w:rPr>
      </w:pPr>
      <w:r>
        <w:rPr>
          <w:rFonts w:hint="eastAsia"/>
          <w:b/>
          <w:lang w:val="en-US" w:eastAsia="zh-CN"/>
        </w:rPr>
        <w:t>P</w:t>
      </w:r>
      <w:r>
        <w:rPr>
          <w:b/>
          <w:lang w:val="en-US" w:eastAsia="zh-CN"/>
        </w:rPr>
        <w:t>roposal 8: It is out of RAN3 scope, pending input from other groups.</w:t>
      </w:r>
    </w:p>
    <w:p>
      <w:pPr>
        <w:pStyle w:val="af4"/>
        <w:numPr>
          <w:ilvl w:val="0"/>
          <w:numId w:val="34"/>
        </w:numPr>
        <w:tabs>
          <w:tab w:val="left" w:pos="691"/>
        </w:tabs>
        <w:spacing w:beforeLines="50" w:before="120" w:after="120"/>
        <w:ind w:firstLineChars="0"/>
        <w:rPr>
          <w:rFonts w:ascii="Calibri" w:hAnsi="Calibri" w:cs="Calibri"/>
          <w:color w:val="FF0000"/>
          <w:szCs w:val="16"/>
          <w:u w:val="single"/>
        </w:rPr>
      </w:pPr>
      <w:r>
        <w:rPr>
          <w:rFonts w:ascii="Calibri" w:hAnsi="Calibri" w:cs="Calibri"/>
          <w:color w:val="FF0000"/>
          <w:szCs w:val="16"/>
          <w:u w:val="single"/>
        </w:rPr>
        <w:t>It is FFS whether the Command Assistance Information includes the Command Type (read, write, disable…)</w:t>
      </w:r>
    </w:p>
    <w:p>
      <w:pPr>
        <w:tabs>
          <w:tab w:val="left" w:pos="691"/>
        </w:tabs>
        <w:spacing w:beforeLines="50" w:before="120" w:after="120"/>
        <w:rPr>
          <w:b/>
          <w:lang w:val="en-US" w:eastAsia="zh-CN"/>
        </w:rPr>
      </w:pPr>
      <w:r>
        <w:rPr>
          <w:rFonts w:hint="eastAsia"/>
          <w:b/>
          <w:lang w:val="en-US" w:eastAsia="zh-CN"/>
        </w:rPr>
        <w:t>P</w:t>
      </w:r>
      <w:r>
        <w:rPr>
          <w:b/>
          <w:lang w:val="en-US" w:eastAsia="zh-CN"/>
        </w:rPr>
        <w:t>roposal 9: It is out of RAN3 scope, pending input from other groups.</w:t>
      </w:r>
    </w:p>
    <w:p>
      <w:pPr>
        <w:pStyle w:val="af4"/>
        <w:numPr>
          <w:ilvl w:val="0"/>
          <w:numId w:val="34"/>
        </w:numPr>
        <w:tabs>
          <w:tab w:val="left" w:pos="691"/>
        </w:tabs>
        <w:spacing w:beforeLines="50" w:before="120" w:after="120"/>
        <w:ind w:firstLineChars="0"/>
        <w:rPr>
          <w:u w:val="single"/>
          <w:lang w:val="en-US" w:eastAsia="zh-CN"/>
        </w:rPr>
      </w:pPr>
      <w:r>
        <w:rPr>
          <w:rFonts w:ascii="Calibri" w:eastAsia="MS Mincho" w:hAnsi="Calibri" w:cs="Calibri"/>
          <w:iCs/>
          <w:color w:val="00B050"/>
          <w:kern w:val="2"/>
          <w:sz w:val="18"/>
          <w:szCs w:val="16"/>
          <w:u w:val="single"/>
        </w:rPr>
        <w:t>Introduce per-session per-device Device Association (“RAN NGAP Device ID”, and</w:t>
      </w:r>
      <w:r>
        <w:rPr>
          <w:rFonts w:ascii="Calibri" w:hAnsi="Calibri" w:cs="Calibri"/>
          <w:color w:val="FF0000"/>
          <w:sz w:val="18"/>
          <w:szCs w:val="16"/>
          <w:u w:val="single"/>
        </w:rPr>
        <w:t xml:space="preserve"> “(FFS) CN NGAP Device ID” pair</w:t>
      </w:r>
      <w:r>
        <w:rPr>
          <w:rFonts w:ascii="Calibri" w:eastAsia="MS Mincho" w:hAnsi="Calibri" w:cs="Calibri"/>
          <w:iCs/>
          <w:color w:val="00B050"/>
          <w:kern w:val="2"/>
          <w:sz w:val="18"/>
          <w:szCs w:val="16"/>
          <w:u w:val="single"/>
        </w:rPr>
        <w:t>)</w:t>
      </w:r>
    </w:p>
    <w:p>
      <w:pPr>
        <w:tabs>
          <w:tab w:val="left" w:pos="691"/>
        </w:tabs>
        <w:spacing w:beforeLines="50" w:before="120" w:after="120"/>
        <w:rPr>
          <w:b/>
          <w:lang w:val="en-US" w:eastAsia="zh-CN"/>
        </w:rPr>
      </w:pPr>
      <w:r>
        <w:rPr>
          <w:rFonts w:hint="eastAsia"/>
          <w:b/>
          <w:lang w:val="en-US" w:eastAsia="zh-CN"/>
        </w:rPr>
        <w:t>P</w:t>
      </w:r>
      <w:r>
        <w:rPr>
          <w:b/>
          <w:lang w:val="en-US" w:eastAsia="zh-CN"/>
        </w:rPr>
        <w:t>roposal 10: No need to introduce CN NGAP Device ID” pair</w:t>
      </w:r>
    </w:p>
    <w:p>
      <w:pPr>
        <w:tabs>
          <w:tab w:val="left" w:pos="691"/>
        </w:tabs>
        <w:spacing w:beforeLines="50" w:before="120" w:after="120"/>
        <w:rPr>
          <w:b/>
          <w:lang w:val="en-US" w:eastAsia="zh-CN"/>
        </w:rPr>
      </w:pPr>
    </w:p>
    <w:p>
      <w:pPr>
        <w:pStyle w:val="20"/>
        <w:numPr>
          <w:ilvl w:val="1"/>
          <w:numId w:val="3"/>
        </w:numPr>
        <w:rPr>
          <w:lang w:val="en-US" w:eastAsia="zh-CN"/>
        </w:rPr>
      </w:pPr>
      <w:r>
        <w:rPr>
          <w:lang w:val="en-US" w:eastAsia="zh-CN"/>
        </w:rPr>
        <w:t>Reader selection</w:t>
      </w:r>
    </w:p>
    <w:p>
      <w:pPr>
        <w:pStyle w:val="ListParagraph4"/>
        <w:autoSpaceDN/>
        <w:spacing w:before="0" w:beforeAutospacing="0" w:after="0"/>
        <w:ind w:leftChars="200" w:left="400"/>
        <w:rPr>
          <w:rFonts w:cs="Calibri"/>
          <w:b/>
          <w:sz w:val="18"/>
          <w:szCs w:val="18"/>
        </w:rPr>
      </w:pPr>
      <w:r>
        <w:rPr>
          <w:rFonts w:cs="Calibri" w:hint="eastAsia"/>
          <w:b/>
          <w:sz w:val="18"/>
          <w:szCs w:val="18"/>
        </w:rPr>
        <w:t>A</w:t>
      </w:r>
      <w:r>
        <w:rPr>
          <w:rFonts w:cs="Calibri"/>
          <w:b/>
          <w:sz w:val="18"/>
          <w:szCs w:val="18"/>
        </w:rPr>
        <w:t>rchitecture aspects:</w:t>
      </w:r>
    </w:p>
    <w:p>
      <w:pPr>
        <w:pStyle w:val="ListParagraph4"/>
        <w:numPr>
          <w:ilvl w:val="0"/>
          <w:numId w:val="29"/>
        </w:numPr>
        <w:autoSpaceDN/>
        <w:spacing w:before="0" w:beforeAutospacing="0" w:after="0"/>
        <w:ind w:leftChars="200" w:left="820"/>
        <w:rPr>
          <w:rFonts w:cs="Calibri"/>
          <w:b/>
          <w:color w:val="D9D9D9" w:themeColor="background1" w:themeShade="D9"/>
          <w:sz w:val="18"/>
          <w:szCs w:val="18"/>
        </w:rPr>
      </w:pPr>
      <w:r>
        <w:rPr>
          <w:rFonts w:cs="Calibri"/>
          <w:b/>
          <w:color w:val="D9D9D9" w:themeColor="background1" w:themeShade="D9"/>
          <w:sz w:val="18"/>
          <w:szCs w:val="18"/>
        </w:rPr>
        <w:t>AIoT RAN node is an aggregated gNB. And this gNB may or may not only provide the A-IoT radio.</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D9D9D9" w:themeColor="background1" w:themeShade="D9"/>
          <w:sz w:val="18"/>
          <w:szCs w:val="18"/>
        </w:rPr>
      </w:pPr>
      <w:r>
        <w:rPr>
          <w:rFonts w:ascii="Calibri" w:hAnsi="Calibri" w:cs="Calibri"/>
          <w:b/>
          <w:color w:val="D9D9D9" w:themeColor="background1" w:themeShade="D9"/>
          <w:sz w:val="18"/>
          <w:szCs w:val="18"/>
        </w:rPr>
        <w:t xml:space="preserve">AIOTF may be aware of the location of reader via OAM configuration. </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D9D9D9" w:themeColor="background1" w:themeShade="D9"/>
          <w:sz w:val="18"/>
          <w:szCs w:val="18"/>
        </w:rPr>
      </w:pPr>
      <w:r>
        <w:rPr>
          <w:rFonts w:ascii="Calibri" w:hAnsi="Calibri" w:cs="Calibri"/>
          <w:b/>
          <w:color w:val="D9D9D9" w:themeColor="background1" w:themeShade="D9"/>
          <w:sz w:val="18"/>
          <w:szCs w:val="18"/>
        </w:rPr>
        <w:t>FFS: The details of the location of reader (e.g., room number, GNSS info) are FFS, and it is FFS on signaling support.</w:t>
      </w:r>
    </w:p>
    <w:p>
      <w:pPr>
        <w:pStyle w:val="17"/>
        <w:numPr>
          <w:ilvl w:val="0"/>
          <w:numId w:val="29"/>
        </w:numPr>
        <w:overflowPunct/>
        <w:autoSpaceDE/>
        <w:autoSpaceDN/>
        <w:adjustRightInd/>
        <w:spacing w:after="0"/>
        <w:ind w:leftChars="200" w:left="820"/>
        <w:contextualSpacing w:val="0"/>
        <w:textAlignment w:val="auto"/>
        <w:rPr>
          <w:rFonts w:ascii="Calibri" w:hAnsi="Calibri" w:cs="Calibri"/>
          <w:b/>
          <w:color w:val="D9D9D9" w:themeColor="background1" w:themeShade="D9"/>
          <w:sz w:val="18"/>
          <w:szCs w:val="18"/>
        </w:rPr>
      </w:pPr>
      <w:r>
        <w:rPr>
          <w:rFonts w:ascii="Calibri" w:hAnsi="Calibri" w:cs="Calibri"/>
          <w:b/>
          <w:color w:val="D9D9D9" w:themeColor="background1" w:themeShade="D9"/>
          <w:sz w:val="18"/>
          <w:szCs w:val="18"/>
        </w:rPr>
        <w:t>FFS: To support selection of RAN node by AIOTF, define a new A-IoT Area, or use Tracking Area dedicated for A-IoT?</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Upon receiving only the area in Inventory Request, the gNB selects readers within the indicated area.</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Upon receiving neither the area nor the reader </w:t>
      </w:r>
      <w:r>
        <w:rPr>
          <w:rFonts w:cs="Calibri" w:hint="eastAsia"/>
          <w:b/>
          <w:color w:val="008000"/>
          <w:sz w:val="18"/>
          <w:szCs w:val="18"/>
        </w:rPr>
        <w:t>list</w:t>
      </w:r>
      <w:r>
        <w:rPr>
          <w:rFonts w:cs="Calibri"/>
          <w:b/>
          <w:color w:val="008000"/>
          <w:sz w:val="18"/>
          <w:szCs w:val="18"/>
        </w:rPr>
        <w:t xml:space="preserve"> in Inventory Request, the gNB selects all the served readers.</w:t>
      </w:r>
    </w:p>
    <w:p>
      <w:pPr>
        <w:pStyle w:val="ListParagraph4"/>
        <w:numPr>
          <w:ilvl w:val="0"/>
          <w:numId w:val="29"/>
        </w:numPr>
        <w:autoSpaceDN/>
        <w:spacing w:before="0" w:beforeAutospacing="0" w:after="0"/>
        <w:ind w:leftChars="200" w:left="820"/>
        <w:rPr>
          <w:rFonts w:cs="Calibri"/>
          <w:b/>
          <w:color w:val="008000"/>
          <w:sz w:val="18"/>
          <w:szCs w:val="18"/>
        </w:rPr>
      </w:pPr>
      <w:r>
        <w:rPr>
          <w:rFonts w:cs="Calibri"/>
          <w:b/>
          <w:color w:val="008000"/>
          <w:sz w:val="18"/>
          <w:szCs w:val="18"/>
        </w:rPr>
        <w:t xml:space="preserve">WA: </w:t>
      </w:r>
      <w:r>
        <w:rPr>
          <w:rFonts w:cs="Calibri" w:hint="eastAsia"/>
          <w:b/>
          <w:color w:val="008000"/>
          <w:sz w:val="18"/>
          <w:szCs w:val="18"/>
        </w:rPr>
        <w:t>U</w:t>
      </w:r>
      <w:r>
        <w:rPr>
          <w:rFonts w:cs="Calibri"/>
          <w:b/>
          <w:color w:val="008000"/>
          <w:sz w:val="18"/>
          <w:szCs w:val="18"/>
        </w:rPr>
        <w:t xml:space="preserve">pon receiving only the reader </w:t>
      </w:r>
      <w:r>
        <w:rPr>
          <w:rFonts w:cs="Calibri" w:hint="eastAsia"/>
          <w:b/>
          <w:color w:val="008000"/>
          <w:sz w:val="18"/>
          <w:szCs w:val="18"/>
        </w:rPr>
        <w:t>list</w:t>
      </w:r>
      <w:r>
        <w:rPr>
          <w:rFonts w:cs="Calibri"/>
          <w:b/>
          <w:color w:val="008000"/>
          <w:sz w:val="18"/>
          <w:szCs w:val="18"/>
        </w:rPr>
        <w:t xml:space="preserve"> </w:t>
      </w:r>
      <w:r>
        <w:rPr>
          <w:rFonts w:cs="Calibri" w:hint="eastAsia"/>
          <w:b/>
          <w:color w:val="008000"/>
          <w:sz w:val="18"/>
          <w:szCs w:val="18"/>
        </w:rPr>
        <w:t>in</w:t>
      </w:r>
      <w:r>
        <w:rPr>
          <w:rFonts w:cs="Calibri"/>
          <w:b/>
          <w:color w:val="008000"/>
          <w:sz w:val="18"/>
          <w:szCs w:val="18"/>
        </w:rPr>
        <w:t xml:space="preserve"> Inventory Request, the gNB selects the readers indicated by the reader list.</w:t>
      </w:r>
    </w:p>
    <w:p>
      <w:pPr>
        <w:pStyle w:val="PropObs"/>
        <w:numPr>
          <w:ilvl w:val="0"/>
          <w:numId w:val="29"/>
        </w:numPr>
        <w:spacing w:before="0" w:beforeAutospacing="0" w:after="0"/>
        <w:ind w:leftChars="200" w:left="820"/>
        <w:contextualSpacing/>
        <w:rPr>
          <w:bCs w:val="0"/>
          <w:color w:val="0000FF"/>
          <w:sz w:val="18"/>
          <w:szCs w:val="18"/>
        </w:rPr>
      </w:pPr>
      <w:r>
        <w:rPr>
          <w:bCs w:val="0"/>
          <w:color w:val="0000FF"/>
          <w:sz w:val="18"/>
          <w:szCs w:val="18"/>
        </w:rPr>
        <w:t xml:space="preserve">FFS: </w:t>
      </w:r>
      <w:r>
        <w:rPr>
          <w:rFonts w:hint="eastAsia"/>
          <w:bCs w:val="0"/>
          <w:color w:val="0000FF"/>
          <w:sz w:val="18"/>
          <w:szCs w:val="18"/>
        </w:rPr>
        <w:t>U</w:t>
      </w:r>
      <w:r>
        <w:rPr>
          <w:bCs w:val="0"/>
          <w:color w:val="0000FF"/>
          <w:sz w:val="18"/>
          <w:szCs w:val="18"/>
        </w:rPr>
        <w:t xml:space="preserve">pon receiving both the area and the reader </w:t>
      </w:r>
      <w:r>
        <w:rPr>
          <w:rFonts w:hint="eastAsia"/>
          <w:bCs w:val="0"/>
          <w:color w:val="0000FF"/>
          <w:sz w:val="18"/>
          <w:szCs w:val="18"/>
        </w:rPr>
        <w:t>list</w:t>
      </w:r>
      <w:r>
        <w:rPr>
          <w:bCs w:val="0"/>
          <w:color w:val="0000FF"/>
          <w:sz w:val="18"/>
          <w:szCs w:val="18"/>
        </w:rPr>
        <w:t xml:space="preserve"> in Inventory Request, the gNB selects the readers within the indicated area and the readers within the reader list.</w:t>
      </w:r>
    </w:p>
    <w:p>
      <w:pPr>
        <w:tabs>
          <w:tab w:val="left" w:pos="691"/>
        </w:tabs>
        <w:spacing w:beforeLines="50" w:before="120" w:after="120"/>
        <w:rPr>
          <w:lang w:val="en-US" w:eastAsia="zh-CN"/>
        </w:rPr>
      </w:pPr>
      <w:r>
        <w:rPr>
          <w:rFonts w:hint="eastAsia"/>
          <w:lang w:val="en-US" w:eastAsia="zh-CN"/>
        </w:rPr>
        <w:t>A</w:t>
      </w:r>
      <w:r>
        <w:rPr>
          <w:lang w:val="en-US" w:eastAsia="zh-CN"/>
        </w:rPr>
        <w:t>ccording to above cases, if the AIoT CN does not provide AIoT area in the Inventory request message, the AIoT area can be seen as the gNB’s serving area. If the AIoT CN provides area, the AIoT areas shall be full or part of the gNB’s serving area. On the contrary, if AIoT CN does not provide AIoT area, the gNB will use its serving area as AIoT area by default.</w:t>
      </w:r>
    </w:p>
    <w:p>
      <w:pPr>
        <w:tabs>
          <w:tab w:val="left" w:pos="691"/>
        </w:tabs>
        <w:spacing w:beforeLines="50" w:before="120" w:after="120"/>
        <w:rPr>
          <w:b/>
          <w:lang w:val="en-US" w:eastAsia="zh-CN"/>
        </w:rPr>
      </w:pPr>
      <w:r>
        <w:rPr>
          <w:b/>
          <w:lang w:val="en-US" w:eastAsia="zh-CN"/>
        </w:rPr>
        <w:t>Proposal 11: If not providing area from AIoT CN, the gNB will use its serving area as AIoT area.</w:t>
      </w:r>
    </w:p>
    <w:p>
      <w:pPr>
        <w:tabs>
          <w:tab w:val="left" w:pos="691"/>
        </w:tabs>
        <w:spacing w:beforeLines="50" w:before="120" w:after="120"/>
        <w:rPr>
          <w:lang w:val="en-US" w:eastAsia="zh-CN"/>
        </w:rPr>
      </w:pPr>
      <w:r>
        <w:rPr>
          <w:lang w:val="en-US" w:eastAsia="zh-CN"/>
        </w:rPr>
        <w:t xml:space="preserve">For instance, 4 readers (reader 1, 2, 3, 4) are deployed in the gNB serving area (grey color), 3 readers (reader 1, 2, 3) are deployed in the area provided by AIoT CN (green color), and 2 readers (reader 1 and reader 2) are suggested by AIoT CN. </w:t>
      </w:r>
    </w:p>
    <w:p>
      <w:pPr>
        <w:tabs>
          <w:tab w:val="left" w:pos="691"/>
        </w:tabs>
        <w:spacing w:beforeLines="50" w:before="120" w:after="120"/>
        <w:jc w:val="center"/>
        <w:rPr>
          <w:lang w:val="en-US" w:eastAsia="zh-CN"/>
        </w:rPr>
      </w:pPr>
      <w:r>
        <w:object w:dxaOrig="6676" w:dyaOrig="5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271.4pt" o:ole="">
            <v:imagedata r:id="rId9" o:title=""/>
          </v:shape>
          <o:OLEObject Type="Embed" ProgID="Visio.Drawing.15" ShapeID="_x0000_i1025" DrawAspect="Content" ObjectID="_1808198431" r:id="rId10"/>
        </w:object>
      </w:r>
    </w:p>
    <w:p>
      <w:pPr>
        <w:pStyle w:val="af4"/>
        <w:numPr>
          <w:ilvl w:val="0"/>
          <w:numId w:val="30"/>
        </w:numPr>
        <w:tabs>
          <w:tab w:val="left" w:pos="691"/>
        </w:tabs>
        <w:spacing w:beforeLines="50" w:before="120" w:after="120"/>
        <w:ind w:firstLineChars="0"/>
        <w:rPr>
          <w:b/>
          <w:lang w:val="en-US" w:eastAsia="zh-CN"/>
        </w:rPr>
      </w:pPr>
      <w:r>
        <w:rPr>
          <w:b/>
          <w:lang w:val="en-US" w:eastAsia="zh-CN"/>
        </w:rPr>
        <w:t>Case 1: Neither providing the area nor providing reader list</w:t>
      </w:r>
    </w:p>
    <w:p>
      <w:pPr>
        <w:pStyle w:val="af4"/>
        <w:tabs>
          <w:tab w:val="left" w:pos="691"/>
        </w:tabs>
        <w:spacing w:beforeLines="50" w:before="120" w:after="120"/>
        <w:ind w:left="704" w:firstLineChars="0" w:firstLine="0"/>
        <w:rPr>
          <w:lang w:val="en-US" w:eastAsia="zh-CN"/>
        </w:rPr>
      </w:pPr>
      <w:r>
        <w:rPr>
          <w:lang w:val="en-US" w:eastAsia="zh-CN"/>
        </w:rPr>
        <w:t>It is evident and agreed that the gNB can select reader(s) from 4 readers within the gNB serving area.</w:t>
      </w:r>
    </w:p>
    <w:p>
      <w:pPr>
        <w:pStyle w:val="af4"/>
        <w:numPr>
          <w:ilvl w:val="0"/>
          <w:numId w:val="30"/>
        </w:numPr>
        <w:tabs>
          <w:tab w:val="left" w:pos="691"/>
        </w:tabs>
        <w:spacing w:beforeLines="50" w:before="120" w:after="120"/>
        <w:ind w:firstLineChars="0"/>
        <w:rPr>
          <w:b/>
          <w:lang w:val="en-US" w:eastAsia="zh-CN"/>
        </w:rPr>
      </w:pPr>
      <w:r>
        <w:rPr>
          <w:b/>
          <w:lang w:val="en-US" w:eastAsia="zh-CN"/>
        </w:rPr>
        <w:t>Case 2: Providing the area but not providing reader list</w:t>
      </w:r>
    </w:p>
    <w:p>
      <w:pPr>
        <w:pStyle w:val="af4"/>
        <w:tabs>
          <w:tab w:val="left" w:pos="691"/>
        </w:tabs>
        <w:spacing w:beforeLines="50" w:before="120" w:after="120"/>
        <w:ind w:left="704" w:firstLineChars="0" w:firstLine="0"/>
        <w:rPr>
          <w:lang w:val="en-US" w:eastAsia="zh-CN"/>
        </w:rPr>
      </w:pPr>
      <w:r>
        <w:rPr>
          <w:lang w:val="en-US" w:eastAsia="zh-CN"/>
        </w:rPr>
        <w:t>It is evident and agreed that the gNB can select reader(s) from 3 readers within the area provided by AIoT CN.</w:t>
      </w:r>
    </w:p>
    <w:p>
      <w:pPr>
        <w:pStyle w:val="af4"/>
        <w:numPr>
          <w:ilvl w:val="0"/>
          <w:numId w:val="30"/>
        </w:numPr>
        <w:tabs>
          <w:tab w:val="left" w:pos="691"/>
        </w:tabs>
        <w:spacing w:beforeLines="50" w:before="120" w:after="120"/>
        <w:ind w:firstLineChars="0"/>
        <w:rPr>
          <w:b/>
          <w:lang w:val="en-US" w:eastAsia="zh-CN"/>
        </w:rPr>
      </w:pPr>
      <w:r>
        <w:rPr>
          <w:b/>
          <w:lang w:val="en-US" w:eastAsia="zh-CN"/>
        </w:rPr>
        <w:t>Case 3: Not providing the area but providing reader list (4 readers in the area, but 2 readers suggested)</w:t>
      </w:r>
    </w:p>
    <w:p>
      <w:pPr>
        <w:pStyle w:val="af4"/>
        <w:tabs>
          <w:tab w:val="left" w:pos="691"/>
        </w:tabs>
        <w:spacing w:beforeLines="50" w:before="120" w:after="120"/>
        <w:ind w:left="704" w:firstLineChars="0" w:firstLine="0"/>
        <w:rPr>
          <w:lang w:val="en-US" w:eastAsia="zh-CN"/>
        </w:rPr>
      </w:pPr>
      <w:r>
        <w:rPr>
          <w:rFonts w:hint="eastAsia"/>
          <w:lang w:val="en-US" w:eastAsia="zh-CN"/>
        </w:rPr>
        <w:t>T</w:t>
      </w:r>
      <w:r>
        <w:rPr>
          <w:lang w:val="en-US" w:eastAsia="zh-CN"/>
        </w:rPr>
        <w:t>he gNB will use its serving area as AIoT area, i.e., 4 readers in the area. However, it is strange if AIoT CN suggests 2 from 4 readers.</w:t>
      </w:r>
    </w:p>
    <w:p>
      <w:pPr>
        <w:pStyle w:val="af4"/>
        <w:numPr>
          <w:ilvl w:val="0"/>
          <w:numId w:val="30"/>
        </w:numPr>
        <w:tabs>
          <w:tab w:val="left" w:pos="691"/>
        </w:tabs>
        <w:spacing w:beforeLines="50" w:before="120" w:after="120"/>
        <w:ind w:firstLineChars="0"/>
        <w:rPr>
          <w:b/>
          <w:lang w:val="en-US" w:eastAsia="zh-CN"/>
        </w:rPr>
      </w:pPr>
      <w:r>
        <w:rPr>
          <w:b/>
          <w:lang w:val="en-US" w:eastAsia="zh-CN"/>
        </w:rPr>
        <w:t>Case 4: Providing both the area and reader list (3 readers in the area, but 2 readers suggested)</w:t>
      </w:r>
    </w:p>
    <w:p>
      <w:pPr>
        <w:pStyle w:val="af4"/>
        <w:tabs>
          <w:tab w:val="left" w:pos="691"/>
        </w:tabs>
        <w:spacing w:beforeLines="50" w:before="120" w:after="120"/>
        <w:ind w:left="704" w:firstLineChars="0" w:firstLine="0"/>
        <w:rPr>
          <w:lang w:val="en-US" w:eastAsia="zh-CN"/>
        </w:rPr>
      </w:pPr>
      <w:r>
        <w:rPr>
          <w:lang w:val="en-US" w:eastAsia="zh-CN"/>
        </w:rPr>
        <w:t>It is strange why AIoT CN indicates 2 from 3 readers other than all of 3 readers, perhaps due to the latest association between reader and devices in the last Inventory report.</w:t>
      </w:r>
    </w:p>
    <w:p>
      <w:pPr>
        <w:tabs>
          <w:tab w:val="left" w:pos="691"/>
        </w:tabs>
        <w:spacing w:beforeLines="50" w:before="120" w:after="120"/>
        <w:rPr>
          <w:lang w:val="en-US" w:eastAsia="zh-CN"/>
        </w:rPr>
      </w:pPr>
      <w:r>
        <w:rPr>
          <w:lang w:val="en-US" w:eastAsia="zh-CN"/>
        </w:rPr>
        <w:t>For above four cases, it is clear for both Case 1 and Case 2. However, it is worth discussing how the gNB selects readers within the reader list in Case 3 and Case 4.</w:t>
      </w:r>
    </w:p>
    <w:p>
      <w:pPr>
        <w:tabs>
          <w:tab w:val="left" w:pos="691"/>
        </w:tabs>
        <w:spacing w:beforeLines="50" w:before="120" w:after="120"/>
        <w:rPr>
          <w:lang w:val="en-US" w:eastAsia="zh-CN"/>
        </w:rPr>
      </w:pPr>
      <w:r>
        <w:rPr>
          <w:lang w:val="en-US" w:eastAsia="zh-CN"/>
        </w:rPr>
        <w:t>In our view, the intention of providing suggested reader(s) from AIoT CN is to help gNB to select suitable reader performing Inventory procedure with devices. Accurately, the AIoT CN mainly focuses on the Inventory result but is not care of which reader to provide it.</w:t>
      </w:r>
    </w:p>
    <w:p>
      <w:pPr>
        <w:tabs>
          <w:tab w:val="left" w:pos="691"/>
        </w:tabs>
        <w:spacing w:beforeLines="50" w:before="120" w:after="120"/>
        <w:rPr>
          <w:lang w:val="en-US" w:eastAsia="zh-CN"/>
        </w:rPr>
      </w:pPr>
      <w:r>
        <w:rPr>
          <w:b/>
          <w:lang w:val="en-US" w:eastAsia="zh-CN"/>
        </w:rPr>
        <w:t>Observation 3: AIoT CN focuses on the Inventory result other than which reader to provide it.</w:t>
      </w:r>
    </w:p>
    <w:p>
      <w:pPr>
        <w:tabs>
          <w:tab w:val="left" w:pos="691"/>
        </w:tabs>
        <w:spacing w:beforeLines="50" w:before="120" w:after="120"/>
        <w:rPr>
          <w:lang w:val="en-US" w:eastAsia="zh-CN"/>
        </w:rPr>
      </w:pPr>
      <w:r>
        <w:rPr>
          <w:rFonts w:hint="eastAsia"/>
          <w:lang w:val="en-US" w:eastAsia="zh-CN"/>
        </w:rPr>
        <w:t>F</w:t>
      </w:r>
      <w:r>
        <w:rPr>
          <w:lang w:val="en-US" w:eastAsia="zh-CN"/>
        </w:rPr>
        <w:t>rom gNB side, upon receiving Inventory request message, it shall select suitable reader within either the area indicated by AIoT CN or gNB serving area by default. If receiving reader list provided by AIoT CN, the gNB can use it as suggested readers, it means that the gNB can based on the radio resources, select other reader out of reader list but within the area.</w:t>
      </w:r>
    </w:p>
    <w:p>
      <w:pPr>
        <w:tabs>
          <w:tab w:val="left" w:pos="691"/>
        </w:tabs>
        <w:spacing w:beforeLines="50" w:before="120" w:after="120"/>
        <w:rPr>
          <w:b/>
          <w:lang w:val="en-US" w:eastAsia="zh-CN"/>
        </w:rPr>
      </w:pPr>
      <w:r>
        <w:rPr>
          <w:b/>
          <w:lang w:val="en-US" w:eastAsia="zh-CN"/>
        </w:rPr>
        <w:t xml:space="preserve">Proposal 12: Upon receiving reader list </w:t>
      </w:r>
      <w:r>
        <w:rPr>
          <w:rFonts w:hint="eastAsia"/>
          <w:b/>
          <w:lang w:val="en-US" w:eastAsia="zh-CN"/>
        </w:rPr>
        <w:t>in</w:t>
      </w:r>
      <w:r>
        <w:rPr>
          <w:b/>
          <w:lang w:val="en-US" w:eastAsia="zh-CN"/>
        </w:rPr>
        <w:t xml:space="preserve"> Inventory Request message, no matter whether receiving the area in this message, the gNB uses the reader list as reference, i.e., it can select reader either in or out of the reader list within the area.</w:t>
      </w:r>
    </w:p>
    <w:p>
      <w:pPr>
        <w:pStyle w:val="20"/>
        <w:numPr>
          <w:ilvl w:val="1"/>
          <w:numId w:val="3"/>
        </w:numPr>
        <w:rPr>
          <w:lang w:val="en-US" w:eastAsia="zh-CN"/>
        </w:rPr>
      </w:pPr>
      <w:r>
        <w:rPr>
          <w:lang w:val="en-US" w:eastAsia="zh-CN"/>
        </w:rPr>
        <w:t>Removal of service type information</w:t>
      </w:r>
    </w:p>
    <w:p>
      <w:pPr>
        <w:rPr>
          <w:lang w:val="en-US" w:eastAsia="zh-CN"/>
        </w:rPr>
      </w:pPr>
      <w:r>
        <w:rPr>
          <w:rFonts w:hint="eastAsia"/>
          <w:lang w:val="en-US" w:eastAsia="zh-CN"/>
        </w:rPr>
        <w:t>The</w:t>
      </w:r>
      <w:r>
        <w:rPr>
          <w:lang w:val="en-US" w:eastAsia="zh-CN"/>
        </w:rPr>
        <w:t xml:space="preserve"> following is abstracted from SA2 incoming LS “R3-253016”.</w:t>
      </w:r>
    </w:p>
    <w:tbl>
      <w:tblPr>
        <w:tblStyle w:val="ad"/>
        <w:tblW w:w="0" w:type="auto"/>
        <w:tblInd w:w="421" w:type="dxa"/>
        <w:tblLook w:val="04A0" w:firstRow="1" w:lastRow="0" w:firstColumn="1" w:lastColumn="0" w:noHBand="0" w:noVBand="1"/>
      </w:tblPr>
      <w:tblGrid>
        <w:gridCol w:w="8505"/>
      </w:tblGrid>
      <w:tr>
        <w:tc>
          <w:tcPr>
            <w:tcW w:w="8505" w:type="dxa"/>
          </w:tcPr>
          <w:p>
            <w:pPr>
              <w:pStyle w:val="10"/>
              <w:rPr>
                <w:sz w:val="28"/>
              </w:rPr>
            </w:pPr>
            <w:r>
              <w:rPr>
                <w:sz w:val="28"/>
              </w:rPr>
              <w:lastRenderedPageBreak/>
              <w:t>1</w:t>
            </w:r>
            <w:r>
              <w:rPr>
                <w:sz w:val="28"/>
              </w:rPr>
              <w:tab/>
              <w:t>Overall description</w:t>
            </w:r>
          </w:p>
          <w:p>
            <w:pPr>
              <w:rPr>
                <w:sz w:val="16"/>
              </w:rPr>
            </w:pPr>
            <w:r>
              <w:rPr>
                <w:sz w:val="16"/>
              </w:rPr>
              <w:t>SA2 has been discussing whether “Service Type” (i.e., Inventory or Command) information in “Assistance Information” provided by the AIOTF to the NG-RAN is still needed, considering the fact that RAN3 has agreed to use separate NGAP procedures for Inventory and Command respectively. SA2 would like to ask RAN2 and RAN3 whether there is any concern if SA2 agrees to remove “Service Type” from “Assistance Information”.</w:t>
            </w:r>
          </w:p>
          <w:p>
            <w:pPr>
              <w:pStyle w:val="10"/>
              <w:rPr>
                <w:sz w:val="28"/>
              </w:rPr>
            </w:pPr>
            <w:r>
              <w:rPr>
                <w:sz w:val="28"/>
              </w:rPr>
              <w:t>2</w:t>
            </w:r>
            <w:r>
              <w:rPr>
                <w:sz w:val="28"/>
              </w:rPr>
              <w:tab/>
              <w:t>Actions</w:t>
            </w:r>
          </w:p>
          <w:p>
            <w:pPr>
              <w:spacing w:after="120"/>
              <w:ind w:left="1985" w:hanging="1985"/>
              <w:rPr>
                <w:rFonts w:ascii="Arial" w:hAnsi="Arial" w:cs="Arial"/>
                <w:b/>
                <w:sz w:val="16"/>
              </w:rPr>
            </w:pPr>
            <w:r>
              <w:rPr>
                <w:rFonts w:ascii="Arial" w:hAnsi="Arial" w:cs="Arial"/>
                <w:b/>
                <w:sz w:val="16"/>
              </w:rPr>
              <w:t xml:space="preserve">To RAN2 and RAN3: </w:t>
            </w:r>
          </w:p>
          <w:p>
            <w:pPr>
              <w:spacing w:after="120"/>
              <w:ind w:left="993" w:hanging="993"/>
              <w:rPr>
                <w:lang w:eastAsia="zh-CN"/>
              </w:rPr>
            </w:pPr>
            <w:r>
              <w:rPr>
                <w:rFonts w:ascii="Arial" w:hAnsi="Arial" w:cs="Arial"/>
                <w:b/>
                <w:sz w:val="16"/>
              </w:rPr>
              <w:t xml:space="preserve">ACTION: </w:t>
            </w:r>
            <w:r>
              <w:rPr>
                <w:rFonts w:ascii="Arial" w:hAnsi="Arial" w:cs="Arial"/>
                <w:b/>
                <w:color w:val="0070C0"/>
                <w:sz w:val="16"/>
              </w:rPr>
              <w:tab/>
            </w:r>
            <w:r>
              <w:rPr>
                <w:sz w:val="16"/>
              </w:rPr>
              <w:t>SA2 kindly asks RAN2 and RAN3 to provide feedback.</w:t>
            </w:r>
          </w:p>
        </w:tc>
      </w:tr>
    </w:tbl>
    <w:p>
      <w:pPr>
        <w:rPr>
          <w:lang w:val="en-US" w:eastAsia="zh-CN"/>
        </w:rPr>
      </w:pPr>
    </w:p>
    <w:p>
      <w:pPr>
        <w:rPr>
          <w:lang w:val="en-US" w:eastAsia="zh-CN"/>
        </w:rPr>
      </w:pPr>
      <w:r>
        <w:rPr>
          <w:lang w:val="en-US" w:eastAsia="zh-CN"/>
        </w:rPr>
        <w:t>As indicated that “RAN3 has agreed to use separate NGAP procedures for Inventory and Command respectively”, from RAN3 point of view, there is no issue left.</w:t>
      </w:r>
    </w:p>
    <w:p>
      <w:pPr>
        <w:rPr>
          <w:lang w:val="en-US" w:eastAsia="zh-CN"/>
        </w:rPr>
      </w:pPr>
      <w:r>
        <w:rPr>
          <w:b/>
          <w:lang w:val="en-US" w:eastAsia="zh-CN"/>
        </w:rPr>
        <w:t>Proposal 13: RAN3 has no concern that SA2 agrees to remove “Service Type” from “Assistance Information”.</w:t>
      </w:r>
    </w:p>
    <w:p>
      <w:pPr>
        <w:pStyle w:val="10"/>
        <w:numPr>
          <w:ilvl w:val="0"/>
          <w:numId w:val="3"/>
        </w:numPr>
        <w:rPr>
          <w:lang w:eastAsia="zh-CN"/>
        </w:rPr>
      </w:pPr>
      <w:r>
        <w:rPr>
          <w:rFonts w:hint="eastAsia"/>
          <w:lang w:eastAsia="zh-CN"/>
        </w:rPr>
        <w:t>C</w:t>
      </w:r>
      <w:r>
        <w:rPr>
          <w:lang w:eastAsia="zh-CN"/>
        </w:rPr>
        <w:t>onclusion</w:t>
      </w:r>
    </w:p>
    <w:p>
      <w:pPr>
        <w:spacing w:beforeLines="50" w:before="120" w:after="120"/>
        <w:rPr>
          <w:lang w:eastAsia="zh-CN"/>
        </w:rPr>
      </w:pPr>
      <w:r>
        <w:rPr>
          <w:rFonts w:hint="eastAsia"/>
          <w:lang w:eastAsia="zh-CN"/>
        </w:rPr>
        <w:t>B</w:t>
      </w:r>
      <w:r>
        <w:rPr>
          <w:lang w:eastAsia="zh-CN"/>
        </w:rPr>
        <w:t>ased on the above analysis, we provide the following observation and proposals.\</w:t>
      </w:r>
    </w:p>
    <w:p>
      <w:pPr>
        <w:tabs>
          <w:tab w:val="left" w:pos="691"/>
        </w:tabs>
        <w:spacing w:beforeLines="50" w:before="120" w:after="120"/>
        <w:rPr>
          <w:b/>
          <w:lang w:val="en-US" w:eastAsia="zh-CN"/>
        </w:rPr>
      </w:pPr>
      <w:r>
        <w:rPr>
          <w:b/>
          <w:lang w:val="en-US" w:eastAsia="zh-CN"/>
        </w:rPr>
        <w:t>Proposal 1: Option 3 (i.e., the supported A-IoT area is defined by reader list) is excluded.</w:t>
      </w:r>
    </w:p>
    <w:p>
      <w:pPr>
        <w:tabs>
          <w:tab w:val="left" w:pos="691"/>
        </w:tabs>
        <w:spacing w:beforeLines="50" w:before="120" w:after="120"/>
        <w:rPr>
          <w:b/>
          <w:lang w:val="en-US" w:eastAsia="zh-CN"/>
        </w:rPr>
      </w:pPr>
      <w:r>
        <w:rPr>
          <w:b/>
          <w:lang w:val="en-US" w:eastAsia="zh-CN"/>
        </w:rPr>
        <w:t>Proposal 2: Define the supported AIoT area by a new type of area.</w:t>
      </w:r>
    </w:p>
    <w:p>
      <w:pPr>
        <w:tabs>
          <w:tab w:val="left" w:pos="691"/>
        </w:tabs>
        <w:spacing w:beforeLines="50" w:before="120" w:after="120"/>
        <w:rPr>
          <w:b/>
          <w:lang w:val="en-US" w:eastAsia="zh-CN"/>
        </w:rPr>
      </w:pPr>
      <w:r>
        <w:rPr>
          <w:b/>
          <w:lang w:val="en-US" w:eastAsia="zh-CN"/>
        </w:rPr>
        <w:t>Proposal 3: One reader can be part of one supported AIoT area or multiple supported A-IoT areas.</w:t>
      </w:r>
    </w:p>
    <w:p>
      <w:pPr>
        <w:tabs>
          <w:tab w:val="left" w:pos="691"/>
        </w:tabs>
        <w:spacing w:beforeLines="50" w:before="120" w:after="120"/>
        <w:rPr>
          <w:b/>
          <w:lang w:val="en-US" w:eastAsia="zh-CN"/>
        </w:rPr>
      </w:pPr>
      <w:r>
        <w:rPr>
          <w:b/>
          <w:lang w:val="en-US" w:eastAsia="zh-CN"/>
        </w:rPr>
        <w:t>Proposal 4: Introduce a transaction ID outside of the Transfer IEs to differentiate parallel command procedure.</w:t>
      </w:r>
    </w:p>
    <w:p>
      <w:pPr>
        <w:tabs>
          <w:tab w:val="left" w:pos="691"/>
        </w:tabs>
        <w:spacing w:beforeLines="50" w:before="120" w:after="120"/>
        <w:rPr>
          <w:b/>
          <w:lang w:val="en-US" w:eastAsia="zh-CN"/>
        </w:rPr>
      </w:pPr>
      <w:r>
        <w:rPr>
          <w:b/>
          <w:lang w:val="en-US" w:eastAsia="zh-CN"/>
        </w:rPr>
        <w:t>Observation 1: The parallel Inventory report procedures for different devices between gNB and AMF shall be supported.</w:t>
      </w:r>
    </w:p>
    <w:p>
      <w:pPr>
        <w:tabs>
          <w:tab w:val="left" w:pos="691"/>
        </w:tabs>
        <w:spacing w:beforeLines="50" w:before="120" w:after="120"/>
        <w:rPr>
          <w:b/>
          <w:lang w:val="en-US" w:eastAsia="zh-CN"/>
        </w:rPr>
      </w:pPr>
      <w:r>
        <w:rPr>
          <w:b/>
          <w:lang w:val="en-US" w:eastAsia="zh-CN"/>
        </w:rPr>
        <w:t>Observation 2: The parallel Inventory request procedures for different readers within the same gNB between gNB and AMF shall be supported.</w:t>
      </w:r>
    </w:p>
    <w:p>
      <w:pPr>
        <w:tabs>
          <w:tab w:val="left" w:pos="691"/>
        </w:tabs>
        <w:spacing w:beforeLines="50" w:before="120" w:after="120"/>
        <w:rPr>
          <w:b/>
          <w:lang w:val="en-US" w:eastAsia="zh-CN"/>
        </w:rPr>
      </w:pPr>
      <w:r>
        <w:rPr>
          <w:b/>
          <w:lang w:val="en-US" w:eastAsia="zh-CN"/>
        </w:rPr>
        <w:t>Proposal 5: Introduce a transaction ID outside of the Transfer IEs to differentiate parallel Inventory report procedures.</w:t>
      </w:r>
    </w:p>
    <w:p>
      <w:pPr>
        <w:tabs>
          <w:tab w:val="left" w:pos="691"/>
        </w:tabs>
        <w:spacing w:beforeLines="50" w:before="120" w:after="120"/>
        <w:rPr>
          <w:b/>
          <w:lang w:val="en-US" w:eastAsia="zh-CN"/>
        </w:rPr>
      </w:pPr>
      <w:r>
        <w:rPr>
          <w:b/>
          <w:lang w:val="en-US" w:eastAsia="zh-CN"/>
        </w:rPr>
        <w:t>Proposal 6: Introduce a transaction ID outside of the Transfer IEs to differentiate parallel Inventory request procedures.</w:t>
      </w:r>
    </w:p>
    <w:p>
      <w:pPr>
        <w:pStyle w:val="af4"/>
        <w:numPr>
          <w:ilvl w:val="0"/>
          <w:numId w:val="34"/>
        </w:numPr>
        <w:tabs>
          <w:tab w:val="left" w:pos="691"/>
        </w:tabs>
        <w:spacing w:beforeLines="50" w:before="120" w:after="120"/>
        <w:ind w:firstLineChars="0"/>
        <w:rPr>
          <w:rFonts w:cs="Calibri"/>
          <w:color w:val="0000FF"/>
          <w:sz w:val="21"/>
          <w:szCs w:val="18"/>
          <w:u w:val="single"/>
        </w:rPr>
      </w:pPr>
      <w:r>
        <w:rPr>
          <w:rFonts w:ascii="Calibri" w:hAnsi="Calibri" w:cs="Calibri"/>
          <w:color w:val="FF0000"/>
          <w:szCs w:val="16"/>
          <w:u w:val="single"/>
        </w:rPr>
        <w:t>It is FFS whether the new A-IoT Area is encoded as GNSS info or new A-IoT Area ID.</w:t>
      </w:r>
      <w:r>
        <w:rPr>
          <w:rFonts w:cs="Calibri"/>
          <w:color w:val="0000FF"/>
          <w:sz w:val="21"/>
          <w:szCs w:val="18"/>
          <w:u w:val="single"/>
        </w:rPr>
        <w:t xml:space="preserve"> </w:t>
      </w:r>
    </w:p>
    <w:p>
      <w:pPr>
        <w:tabs>
          <w:tab w:val="left" w:pos="691"/>
        </w:tabs>
        <w:spacing w:beforeLines="50" w:before="120" w:after="120"/>
        <w:rPr>
          <w:b/>
          <w:lang w:val="en-US" w:eastAsia="zh-CN"/>
        </w:rPr>
      </w:pPr>
      <w:r>
        <w:rPr>
          <w:b/>
          <w:lang w:val="en-US" w:eastAsia="zh-CN"/>
        </w:rPr>
        <w:t>Proposal 7: No need to encode A-IoT area as GNSS info.</w:t>
      </w:r>
    </w:p>
    <w:p>
      <w:pPr>
        <w:tabs>
          <w:tab w:val="left" w:pos="691"/>
        </w:tabs>
        <w:spacing w:beforeLines="50" w:before="120" w:after="120"/>
        <w:rPr>
          <w:rFonts w:ascii="Calibri" w:hAnsi="Calibri" w:cs="Calibri"/>
          <w:color w:val="FF0000"/>
          <w:szCs w:val="16"/>
          <w:u w:val="single"/>
        </w:rPr>
      </w:pPr>
      <w:r>
        <w:rPr>
          <w:rFonts w:ascii="Calibri" w:hAnsi="Calibri" w:cs="Calibri"/>
          <w:color w:val="FF0000"/>
          <w:szCs w:val="16"/>
          <w:u w:val="single"/>
        </w:rPr>
        <w:t>It is FFS whether the Inventory Assistance Information includes the “Estimate of Expected D2R Message Size”</w:t>
      </w:r>
    </w:p>
    <w:p>
      <w:pPr>
        <w:tabs>
          <w:tab w:val="left" w:pos="691"/>
        </w:tabs>
        <w:spacing w:beforeLines="50" w:before="120" w:after="120"/>
        <w:rPr>
          <w:b/>
          <w:lang w:val="en-US" w:eastAsia="zh-CN"/>
        </w:rPr>
      </w:pPr>
      <w:r>
        <w:rPr>
          <w:rFonts w:hint="eastAsia"/>
          <w:b/>
          <w:lang w:val="en-US" w:eastAsia="zh-CN"/>
        </w:rPr>
        <w:t>P</w:t>
      </w:r>
      <w:r>
        <w:rPr>
          <w:b/>
          <w:lang w:val="en-US" w:eastAsia="zh-CN"/>
        </w:rPr>
        <w:t>roposal 8: It is out of RAN3 scope, pending input from other groups.</w:t>
      </w:r>
    </w:p>
    <w:p>
      <w:pPr>
        <w:pStyle w:val="af4"/>
        <w:numPr>
          <w:ilvl w:val="0"/>
          <w:numId w:val="34"/>
        </w:numPr>
        <w:tabs>
          <w:tab w:val="left" w:pos="691"/>
        </w:tabs>
        <w:spacing w:beforeLines="50" w:before="120" w:after="120"/>
        <w:ind w:firstLineChars="0"/>
        <w:rPr>
          <w:rFonts w:ascii="Calibri" w:hAnsi="Calibri" w:cs="Calibri"/>
          <w:color w:val="FF0000"/>
          <w:szCs w:val="16"/>
          <w:u w:val="single"/>
        </w:rPr>
      </w:pPr>
      <w:r>
        <w:rPr>
          <w:rFonts w:ascii="Calibri" w:hAnsi="Calibri" w:cs="Calibri"/>
          <w:color w:val="FF0000"/>
          <w:szCs w:val="16"/>
          <w:u w:val="single"/>
        </w:rPr>
        <w:t>It is FFS whether the Command Assistance Information includes the Command Type (read, write, disable…)</w:t>
      </w:r>
    </w:p>
    <w:p>
      <w:pPr>
        <w:tabs>
          <w:tab w:val="left" w:pos="691"/>
        </w:tabs>
        <w:spacing w:beforeLines="50" w:before="120" w:after="120"/>
        <w:rPr>
          <w:b/>
          <w:lang w:val="en-US" w:eastAsia="zh-CN"/>
        </w:rPr>
      </w:pPr>
      <w:r>
        <w:rPr>
          <w:rFonts w:hint="eastAsia"/>
          <w:b/>
          <w:lang w:val="en-US" w:eastAsia="zh-CN"/>
        </w:rPr>
        <w:t>P</w:t>
      </w:r>
      <w:r>
        <w:rPr>
          <w:b/>
          <w:lang w:val="en-US" w:eastAsia="zh-CN"/>
        </w:rPr>
        <w:t>roposal 9: It is out of RAN3 scope, pending input from other groups.</w:t>
      </w:r>
    </w:p>
    <w:p>
      <w:pPr>
        <w:pStyle w:val="af4"/>
        <w:numPr>
          <w:ilvl w:val="0"/>
          <w:numId w:val="34"/>
        </w:numPr>
        <w:tabs>
          <w:tab w:val="left" w:pos="691"/>
        </w:tabs>
        <w:spacing w:beforeLines="50" w:before="120" w:after="120"/>
        <w:ind w:firstLineChars="0"/>
        <w:rPr>
          <w:u w:val="single"/>
          <w:lang w:val="en-US" w:eastAsia="zh-CN"/>
        </w:rPr>
      </w:pPr>
      <w:r>
        <w:rPr>
          <w:rFonts w:ascii="Calibri" w:eastAsia="MS Mincho" w:hAnsi="Calibri" w:cs="Calibri"/>
          <w:iCs/>
          <w:color w:val="00B050"/>
          <w:kern w:val="2"/>
          <w:sz w:val="18"/>
          <w:szCs w:val="16"/>
          <w:u w:val="single"/>
        </w:rPr>
        <w:t>Introduce per-session per-device Device Association (“RAN NGAP Device ID”, and</w:t>
      </w:r>
      <w:r>
        <w:rPr>
          <w:rFonts w:ascii="Calibri" w:hAnsi="Calibri" w:cs="Calibri"/>
          <w:color w:val="FF0000"/>
          <w:sz w:val="18"/>
          <w:szCs w:val="16"/>
          <w:u w:val="single"/>
        </w:rPr>
        <w:t xml:space="preserve"> “(FFS) CN NGAP Device ID” pair</w:t>
      </w:r>
      <w:r>
        <w:rPr>
          <w:rFonts w:ascii="Calibri" w:eastAsia="MS Mincho" w:hAnsi="Calibri" w:cs="Calibri"/>
          <w:iCs/>
          <w:color w:val="00B050"/>
          <w:kern w:val="2"/>
          <w:sz w:val="18"/>
          <w:szCs w:val="16"/>
          <w:u w:val="single"/>
        </w:rPr>
        <w:t>)</w:t>
      </w:r>
    </w:p>
    <w:p>
      <w:pPr>
        <w:tabs>
          <w:tab w:val="left" w:pos="691"/>
        </w:tabs>
        <w:spacing w:beforeLines="50" w:before="120" w:after="120"/>
        <w:rPr>
          <w:b/>
          <w:lang w:val="en-US" w:eastAsia="zh-CN"/>
        </w:rPr>
      </w:pPr>
      <w:r>
        <w:rPr>
          <w:rFonts w:hint="eastAsia"/>
          <w:b/>
          <w:lang w:val="en-US" w:eastAsia="zh-CN"/>
        </w:rPr>
        <w:t>P</w:t>
      </w:r>
      <w:r>
        <w:rPr>
          <w:b/>
          <w:lang w:val="en-US" w:eastAsia="zh-CN"/>
        </w:rPr>
        <w:t>roposal 10: No need to introduce CN NGAP Device ID” pair</w:t>
      </w:r>
    </w:p>
    <w:p>
      <w:pPr>
        <w:tabs>
          <w:tab w:val="left" w:pos="691"/>
        </w:tabs>
        <w:spacing w:beforeLines="50" w:before="120" w:after="120"/>
        <w:rPr>
          <w:b/>
          <w:lang w:val="en-US" w:eastAsia="zh-CN"/>
        </w:rPr>
      </w:pPr>
      <w:r>
        <w:rPr>
          <w:b/>
          <w:lang w:val="en-US" w:eastAsia="zh-CN"/>
        </w:rPr>
        <w:t>Proposal 11: If not providing area from AIoT CN, the gNB will use its serving area as AIoT area.</w:t>
      </w:r>
    </w:p>
    <w:p>
      <w:pPr>
        <w:tabs>
          <w:tab w:val="left" w:pos="691"/>
        </w:tabs>
        <w:spacing w:beforeLines="50" w:before="120" w:after="120"/>
        <w:rPr>
          <w:lang w:val="en-US" w:eastAsia="zh-CN"/>
        </w:rPr>
      </w:pPr>
      <w:r>
        <w:rPr>
          <w:b/>
          <w:lang w:val="en-US" w:eastAsia="zh-CN"/>
        </w:rPr>
        <w:t>Observation 3: AIoT CN focuses on the Inventory result other than which reader to provide it.</w:t>
      </w:r>
    </w:p>
    <w:p>
      <w:pPr>
        <w:tabs>
          <w:tab w:val="left" w:pos="691"/>
        </w:tabs>
        <w:spacing w:beforeLines="50" w:before="120" w:after="120"/>
        <w:rPr>
          <w:b/>
          <w:lang w:val="en-US" w:eastAsia="zh-CN"/>
        </w:rPr>
      </w:pPr>
      <w:r>
        <w:rPr>
          <w:b/>
          <w:lang w:val="en-US" w:eastAsia="zh-CN"/>
        </w:rPr>
        <w:t xml:space="preserve">Proposal 12: Upon receiving reader list </w:t>
      </w:r>
      <w:r>
        <w:rPr>
          <w:rFonts w:hint="eastAsia"/>
          <w:b/>
          <w:lang w:val="en-US" w:eastAsia="zh-CN"/>
        </w:rPr>
        <w:t>in</w:t>
      </w:r>
      <w:r>
        <w:rPr>
          <w:b/>
          <w:lang w:val="en-US" w:eastAsia="zh-CN"/>
        </w:rPr>
        <w:t xml:space="preserve"> Inventory Request message, no matter whether receiving the area in this message, the gNB uses the reader list as reference, i.e., it can select reader either in or out of the reader list within the area.</w:t>
      </w:r>
    </w:p>
    <w:p>
      <w:pPr>
        <w:rPr>
          <w:lang w:val="en-US" w:eastAsia="zh-CN"/>
        </w:rPr>
      </w:pPr>
      <w:r>
        <w:rPr>
          <w:b/>
          <w:lang w:val="en-US" w:eastAsia="zh-CN"/>
        </w:rPr>
        <w:t>Proposal 13: RAN3 has no concern that SA2 agrees to remove “Service Type” from “Assistance Information”.</w:t>
      </w:r>
    </w:p>
    <w:p>
      <w:pPr>
        <w:tabs>
          <w:tab w:val="left" w:pos="691"/>
        </w:tabs>
        <w:spacing w:beforeLines="50" w:before="120" w:after="120"/>
        <w:rPr>
          <w:lang w:val="en-US" w:eastAsia="zh-CN"/>
        </w:rPr>
      </w:pPr>
      <w:r>
        <w:rPr>
          <w:lang w:val="en-US" w:eastAsia="zh-CN"/>
        </w:rPr>
        <w:lastRenderedPageBreak/>
        <w:t>We also provide the corresponding TPs and draft reply LS (to R3-253016) in the corresponding paper R3-253246</w:t>
      </w:r>
      <w:bookmarkStart w:id="29" w:name="_GoBack"/>
      <w:bookmarkEnd w:id="29"/>
      <w:r>
        <w:rPr>
          <w:lang w:val="en-US" w:eastAsia="zh-CN"/>
        </w:rPr>
        <w:t>.</w:t>
      </w:r>
    </w:p>
    <w:sectPr>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54ED5"/>
    <w:multiLevelType w:val="hybridMultilevel"/>
    <w:tmpl w:val="2DEC2EF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153375"/>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1479B8"/>
    <w:multiLevelType w:val="hybridMultilevel"/>
    <w:tmpl w:val="9558C176"/>
    <w:lvl w:ilvl="0" w:tplc="77AC8DF8">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757F5A"/>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DF59DF"/>
    <w:multiLevelType w:val="hybridMultilevel"/>
    <w:tmpl w:val="E8024802"/>
    <w:lvl w:ilvl="0" w:tplc="A42A6D6C">
      <w:start w:val="1"/>
      <w:numFmt w:val="decimal"/>
      <w:lvlText w:val="%1."/>
      <w:lvlJc w:val="left"/>
      <w:pPr>
        <w:ind w:left="1619" w:hanging="360"/>
      </w:pPr>
      <w:rPr>
        <w:rFonts w:hint="default"/>
      </w:rPr>
    </w:lvl>
    <w:lvl w:ilvl="1" w:tplc="C57CA076">
      <w:start w:val="8"/>
      <w:numFmt w:val="decimalFullWidth"/>
      <w:lvlText w:val="%2."/>
      <w:lvlJc w:val="left"/>
      <w:pPr>
        <w:ind w:left="2339" w:hanging="360"/>
      </w:pPr>
      <w:rPr>
        <w:rFonts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0612D7C"/>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9023A90"/>
    <w:multiLevelType w:val="multilevel"/>
    <w:tmpl w:val="B84CB15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70146DC0"/>
    <w:multiLevelType w:val="hybridMultilevel"/>
    <w:tmpl w:val="B540FDEA"/>
    <w:lvl w:ilvl="0" w:tplc="8ED85BF2">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1136"/>
        </w:tabs>
        <w:ind w:left="1136" w:hanging="360"/>
      </w:pPr>
      <w:rPr>
        <w:rFonts w:ascii="Courier New" w:hAnsi="Courier New" w:cs="Courier New" w:hint="default"/>
      </w:rPr>
    </w:lvl>
    <w:lvl w:ilvl="2" w:tplc="04090005" w:tentative="1">
      <w:start w:val="1"/>
      <w:numFmt w:val="bullet"/>
      <w:lvlText w:val=""/>
      <w:lvlJc w:val="left"/>
      <w:pPr>
        <w:tabs>
          <w:tab w:val="num" w:pos="1856"/>
        </w:tabs>
        <w:ind w:left="1856" w:hanging="360"/>
      </w:pPr>
      <w:rPr>
        <w:rFonts w:ascii="Wingdings" w:hAnsi="Wingdings" w:hint="default"/>
      </w:rPr>
    </w:lvl>
    <w:lvl w:ilvl="3" w:tplc="04090001" w:tentative="1">
      <w:start w:val="1"/>
      <w:numFmt w:val="bullet"/>
      <w:lvlText w:val=""/>
      <w:lvlJc w:val="left"/>
      <w:pPr>
        <w:tabs>
          <w:tab w:val="num" w:pos="2576"/>
        </w:tabs>
        <w:ind w:left="2576" w:hanging="360"/>
      </w:pPr>
      <w:rPr>
        <w:rFonts w:ascii="Symbol" w:hAnsi="Symbol" w:hint="default"/>
      </w:rPr>
    </w:lvl>
    <w:lvl w:ilvl="4" w:tplc="04090003" w:tentative="1">
      <w:start w:val="1"/>
      <w:numFmt w:val="bullet"/>
      <w:lvlText w:val="o"/>
      <w:lvlJc w:val="left"/>
      <w:pPr>
        <w:tabs>
          <w:tab w:val="num" w:pos="3296"/>
        </w:tabs>
        <w:ind w:left="3296" w:hanging="360"/>
      </w:pPr>
      <w:rPr>
        <w:rFonts w:ascii="Courier New" w:hAnsi="Courier New" w:cs="Courier New" w:hint="default"/>
      </w:rPr>
    </w:lvl>
    <w:lvl w:ilvl="5" w:tplc="04090005" w:tentative="1">
      <w:start w:val="1"/>
      <w:numFmt w:val="bullet"/>
      <w:lvlText w:val=""/>
      <w:lvlJc w:val="left"/>
      <w:pPr>
        <w:tabs>
          <w:tab w:val="num" w:pos="4016"/>
        </w:tabs>
        <w:ind w:left="4016" w:hanging="360"/>
      </w:pPr>
      <w:rPr>
        <w:rFonts w:ascii="Wingdings" w:hAnsi="Wingdings" w:hint="default"/>
      </w:rPr>
    </w:lvl>
    <w:lvl w:ilvl="6" w:tplc="04090001" w:tentative="1">
      <w:start w:val="1"/>
      <w:numFmt w:val="bullet"/>
      <w:lvlText w:val=""/>
      <w:lvlJc w:val="left"/>
      <w:pPr>
        <w:tabs>
          <w:tab w:val="num" w:pos="4736"/>
        </w:tabs>
        <w:ind w:left="4736" w:hanging="360"/>
      </w:pPr>
      <w:rPr>
        <w:rFonts w:ascii="Symbol" w:hAnsi="Symbol" w:hint="default"/>
      </w:rPr>
    </w:lvl>
    <w:lvl w:ilvl="7" w:tplc="04090003" w:tentative="1">
      <w:start w:val="1"/>
      <w:numFmt w:val="bullet"/>
      <w:lvlText w:val="o"/>
      <w:lvlJc w:val="left"/>
      <w:pPr>
        <w:tabs>
          <w:tab w:val="num" w:pos="5456"/>
        </w:tabs>
        <w:ind w:left="5456" w:hanging="360"/>
      </w:pPr>
      <w:rPr>
        <w:rFonts w:ascii="Courier New" w:hAnsi="Courier New" w:cs="Courier New" w:hint="default"/>
      </w:rPr>
    </w:lvl>
    <w:lvl w:ilvl="8" w:tplc="04090005" w:tentative="1">
      <w:start w:val="1"/>
      <w:numFmt w:val="bullet"/>
      <w:lvlText w:val=""/>
      <w:lvlJc w:val="left"/>
      <w:pPr>
        <w:tabs>
          <w:tab w:val="num" w:pos="6176"/>
        </w:tabs>
        <w:ind w:left="6176" w:hanging="360"/>
      </w:pPr>
      <w:rPr>
        <w:rFonts w:ascii="Wingdings" w:hAnsi="Wingdings" w:hint="default"/>
      </w:rPr>
    </w:lvl>
  </w:abstractNum>
  <w:abstractNum w:abstractNumId="30" w15:restartNumberingAfterBreak="0">
    <w:nsid w:val="71187BBD"/>
    <w:multiLevelType w:val="hybridMultilevel"/>
    <w:tmpl w:val="C5F83A30"/>
    <w:lvl w:ilvl="0" w:tplc="D9D4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226B07"/>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33"/>
  </w:num>
  <w:num w:numId="3">
    <w:abstractNumId w:val="27"/>
  </w:num>
  <w:num w:numId="4">
    <w:abstractNumId w:val="29"/>
  </w:num>
  <w:num w:numId="5">
    <w:abstractNumId w:val="2"/>
  </w:num>
  <w:num w:numId="6">
    <w:abstractNumId w:val="16"/>
  </w:num>
  <w:num w:numId="7">
    <w:abstractNumId w:val="26"/>
  </w:num>
  <w:num w:numId="8">
    <w:abstractNumId w:val="7"/>
  </w:num>
  <w:num w:numId="9">
    <w:abstractNumId w:val="21"/>
  </w:num>
  <w:num w:numId="10">
    <w:abstractNumId w:val="10"/>
  </w:num>
  <w:num w:numId="11">
    <w:abstractNumId w:val="28"/>
  </w:num>
  <w:num w:numId="12">
    <w:abstractNumId w:val="25"/>
  </w:num>
  <w:num w:numId="13">
    <w:abstractNumId w:val="34"/>
  </w:num>
  <w:num w:numId="14">
    <w:abstractNumId w:val="0"/>
  </w:num>
  <w:num w:numId="15">
    <w:abstractNumId w:val="11"/>
  </w:num>
  <w:num w:numId="16">
    <w:abstractNumId w:val="31"/>
  </w:num>
  <w:num w:numId="17">
    <w:abstractNumId w:val="19"/>
  </w:num>
  <w:num w:numId="18">
    <w:abstractNumId w:val="30"/>
  </w:num>
  <w:num w:numId="19">
    <w:abstractNumId w:val="4"/>
  </w:num>
  <w:num w:numId="20">
    <w:abstractNumId w:val="20"/>
  </w:num>
  <w:num w:numId="21">
    <w:abstractNumId w:val="9"/>
  </w:num>
  <w:num w:numId="22">
    <w:abstractNumId w:val="24"/>
  </w:num>
  <w:num w:numId="23">
    <w:abstractNumId w:val="5"/>
  </w:num>
  <w:num w:numId="24">
    <w:abstractNumId w:val="1"/>
  </w:num>
  <w:num w:numId="25">
    <w:abstractNumId w:val="12"/>
  </w:num>
  <w:num w:numId="26">
    <w:abstractNumId w:val="14"/>
  </w:num>
  <w:num w:numId="27">
    <w:abstractNumId w:val="32"/>
  </w:num>
  <w:num w:numId="28">
    <w:abstractNumId w:val="15"/>
  </w:num>
  <w:num w:numId="29">
    <w:abstractNumId w:val="13"/>
  </w:num>
  <w:num w:numId="30">
    <w:abstractNumId w:val="8"/>
  </w:num>
  <w:num w:numId="31">
    <w:abstractNumId w:val="6"/>
  </w:num>
  <w:num w:numId="32">
    <w:abstractNumId w:val="23"/>
  </w:num>
  <w:num w:numId="33">
    <w:abstractNumId w:val="3"/>
  </w:num>
  <w:num w:numId="34">
    <w:abstractNumId w:val="18"/>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1"/>
    <w:next w:val="a"/>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c">
    <w:name w:val="annotation subject"/>
    <w:basedOn w:val="a7"/>
    <w:next w:val="a7"/>
    <w:link w:val="Char5"/>
    <w:qFormat/>
    <w:rPr>
      <w:b/>
      <w:bCs/>
    </w:rPr>
  </w:style>
  <w:style w:type="table" w:styleId="ad">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Zchn"/>
    <w:qFormat/>
  </w:style>
  <w:style w:type="paragraph" w:customStyle="1" w:styleId="B2">
    <w:name w:val="B2"/>
    <w:basedOn w:val="21"/>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99"/>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qFormat/>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Char">
    <w:name w:val="标题 1 Char"/>
    <w:link w:val="10"/>
    <w:qFormat/>
    <w:rPr>
      <w:rFonts w:ascii="Arial" w:hAnsi="Arial"/>
      <w:sz w:val="36"/>
      <w:lang w:val="en-GB" w:eastAsia="en-US"/>
    </w:rPr>
  </w:style>
  <w:style w:type="character" w:customStyle="1" w:styleId="2Char">
    <w:name w:val="标题 2 Char"/>
    <w:link w:val="20"/>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0"/>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aliases w:val="Underrubrik2 Char1,H3 Char1"/>
    <w:semiHidden/>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5">
    <w:name w:val="批注主题 Char"/>
    <w:basedOn w:val="Char0"/>
    <w:link w:val="ac"/>
    <w:qFormat/>
    <w:rPr>
      <w:rFonts w:ascii="Times New Roman" w:hAnsi="Times New Roman"/>
      <w:b/>
      <w:bCs/>
      <w:lang w:val="en-GB" w:eastAsia="en-US"/>
    </w:rPr>
  </w:style>
  <w:style w:type="character" w:customStyle="1" w:styleId="Char4">
    <w:name w:val="脚注文本 Char"/>
    <w:basedOn w:val="a0"/>
    <w:link w:val="ab"/>
    <w:qFormat/>
    <w:rPr>
      <w:rFonts w:ascii="Times New Roman" w:hAnsi="Times New Roman"/>
      <w:sz w:val="16"/>
      <w:lang w:val="en-GB" w:eastAsia="en-US"/>
    </w:rPr>
  </w:style>
  <w:style w:type="paragraph" w:customStyle="1" w:styleId="LSHeader">
    <w:name w:val="LSHeader"/>
    <w:pPr>
      <w:tabs>
        <w:tab w:val="right" w:pos="9781"/>
      </w:tabs>
    </w:pPr>
    <w:rPr>
      <w:rFonts w:ascii="Arial" w:eastAsia="Malgun Gothic" w:hAnsi="Arial"/>
      <w:b/>
      <w:sz w:val="24"/>
    </w:rPr>
  </w:style>
  <w:style w:type="character" w:customStyle="1" w:styleId="B3Char2">
    <w:name w:val="B3 Char2"/>
    <w:rPr>
      <w:rFonts w:eastAsia="Times New Roman"/>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paragraph" w:styleId="af5">
    <w:name w:val="Title"/>
    <w:basedOn w:val="a"/>
    <w:next w:val="a"/>
    <w:link w:val="Char8"/>
    <w:qFormat/>
    <w:pPr>
      <w:spacing w:before="240" w:after="60"/>
      <w:jc w:val="center"/>
      <w:outlineLvl w:val="0"/>
    </w:pPr>
    <w:rPr>
      <w:rFonts w:asciiTheme="majorHAnsi" w:hAnsiTheme="majorHAnsi" w:cstheme="majorBidi"/>
      <w:b/>
      <w:bCs/>
      <w:sz w:val="32"/>
      <w:szCs w:val="32"/>
    </w:rPr>
  </w:style>
  <w:style w:type="character" w:customStyle="1" w:styleId="Char8">
    <w:name w:val="标题 Char"/>
    <w:basedOn w:val="a0"/>
    <w:link w:val="af5"/>
    <w:rPr>
      <w:rFonts w:asciiTheme="majorHAnsi" w:hAnsiTheme="majorHAnsi" w:cstheme="majorBidi"/>
      <w:b/>
      <w:bCs/>
      <w:sz w:val="32"/>
      <w:szCs w:val="32"/>
      <w:lang w:val="en-GB" w:eastAsia="en-US"/>
    </w:rPr>
  </w:style>
  <w:style w:type="paragraph" w:customStyle="1" w:styleId="3GPPHeader">
    <w:name w:val="3GPP_Header"/>
    <w:basedOn w:val="a"/>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styleId="af6">
    <w:name w:val="Revision"/>
    <w:hidden/>
    <w:uiPriority w:val="99"/>
    <w:semiHidden/>
    <w:rPr>
      <w:rFonts w:ascii="Times New Roman" w:eastAsiaTheme="minorEastAsia" w:hAnsi="Times New Roman"/>
      <w:lang w:val="en-GB" w:eastAsia="en-US"/>
    </w:rPr>
  </w:style>
  <w:style w:type="character" w:customStyle="1" w:styleId="UnresolvedMention">
    <w:name w:val="Unresolved Mention"/>
    <w:uiPriority w:val="99"/>
    <w:semiHidden/>
    <w:unhideWhenUsed/>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4">
    <w:name w:val="网格型1"/>
    <w:basedOn w:val="a1"/>
    <w:next w:val="ad"/>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d"/>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numbering" w:customStyle="1" w:styleId="2">
    <w:name w:val="列表编号2"/>
    <w:basedOn w:val="a2"/>
    <w:pPr>
      <w:numPr>
        <w:numId w:val="14"/>
      </w:numPr>
    </w:pPr>
  </w:style>
  <w:style w:type="numbering" w:customStyle="1" w:styleId="1">
    <w:name w:val="项目编号1"/>
    <w:basedOn w:val="a2"/>
    <w:pPr>
      <w:numPr>
        <w:numId w:val="13"/>
      </w:numPr>
    </w:pPr>
  </w:style>
  <w:style w:type="paragraph" w:styleId="TOC">
    <w:name w:val="TOC Heading"/>
    <w:basedOn w:val="10"/>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7">
    <w:name w:val="Placeholder Text"/>
    <w:uiPriority w:val="99"/>
    <w:semiHidden/>
    <w:qFormat/>
    <w:rPr>
      <w:color w:val="808080"/>
    </w:rPr>
  </w:style>
  <w:style w:type="paragraph" w:customStyle="1" w:styleId="B1">
    <w:name w:val="B1+"/>
    <w:basedOn w:val="B10"/>
    <w:link w:val="B1Car"/>
    <w:qFormat/>
    <w:pPr>
      <w:numPr>
        <w:numId w:val="1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aliases w:val="9 pt,Left:  0,45 cm,After:  0 pt,First line:  0,08 ch"/>
    <w:basedOn w:val="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styleId="af8">
    <w:name w:val="Body Text"/>
    <w:basedOn w:val="a"/>
    <w:link w:val="Char9"/>
    <w:qFormat/>
    <w:pPr>
      <w:overflowPunct w:val="0"/>
      <w:autoSpaceDE w:val="0"/>
      <w:autoSpaceDN w:val="0"/>
      <w:adjustRightInd w:val="0"/>
      <w:spacing w:after="120"/>
      <w:textAlignment w:val="baseline"/>
    </w:pPr>
    <w:rPr>
      <w:rFonts w:eastAsia="Times New Roman"/>
      <w:lang w:eastAsia="ko-KR"/>
    </w:rPr>
  </w:style>
  <w:style w:type="character" w:customStyle="1" w:styleId="Char9">
    <w:name w:val="正文文本 Char"/>
    <w:basedOn w:val="a0"/>
    <w:link w:val="af8"/>
    <w:qFormat/>
    <w:rPr>
      <w:rFonts w:ascii="Times New Roman" w:eastAsia="Times New Roman" w:hAnsi="Times New Roman"/>
      <w:lang w:val="en-GB" w:eastAsia="ko-KR"/>
    </w:rPr>
  </w:style>
  <w:style w:type="character" w:styleId="af9">
    <w:name w:val="line number"/>
    <w:unhideWhenUsed/>
    <w:qFormat/>
  </w:style>
  <w:style w:type="character" w:styleId="afa">
    <w:name w:val="Strong"/>
    <w:qFormat/>
    <w:rPr>
      <w:rFonts w:eastAsia="宋体"/>
      <w:b/>
      <w:bCs/>
      <w:lang w:val="en-US" w:eastAsia="zh-CN" w:bidi="ar-SA"/>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paragraph" w:styleId="afb">
    <w:name w:val="Body Text Indent"/>
    <w:basedOn w:val="a"/>
    <w:link w:val="Chara"/>
    <w:qFormat/>
    <w:pPr>
      <w:spacing w:after="120"/>
      <w:ind w:left="283"/>
    </w:pPr>
    <w:rPr>
      <w:rFonts w:eastAsia="MS Mincho"/>
      <w:lang w:eastAsia="x-none"/>
    </w:rPr>
  </w:style>
  <w:style w:type="character" w:customStyle="1" w:styleId="Chara">
    <w:name w:val="正文文本缩进 Char"/>
    <w:basedOn w:val="a0"/>
    <w:link w:val="afb"/>
    <w:rPr>
      <w:rFonts w:ascii="Times New Roman" w:eastAsia="MS Mincho" w:hAnsi="Times New Roman"/>
      <w:lang w:val="en-GB" w:eastAsia="x-none"/>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pPr>
      <w:tabs>
        <w:tab w:val="num"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c">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afd">
    <w:name w:val="table of figures"/>
    <w:basedOn w:val="af8"/>
    <w:next w:val="a"/>
    <w:uiPriority w:val="99"/>
    <w:pPr>
      <w:ind w:left="1701" w:hanging="1701"/>
    </w:pPr>
    <w:rPr>
      <w:rFonts w:ascii="Arial" w:eastAsia="宋体" w:hAnsi="Arial"/>
      <w:b/>
      <w:lang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e">
    <w:name w:val="列表段落"/>
    <w:basedOn w:val="a"/>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numPr>
        <w:ilvl w:val="3"/>
      </w:numPr>
      <w:overflowPunct w:val="0"/>
      <w:autoSpaceDE w:val="0"/>
      <w:autoSpaceDN w:val="0"/>
      <w:adjustRightInd w:val="0"/>
      <w:spacing w:before="0" w:after="0"/>
      <w:ind w:left="567" w:hanging="1418"/>
      <w:textAlignment w:val="baseline"/>
    </w:pPr>
    <w:rPr>
      <w:rFonts w:cs="Arial"/>
      <w:sz w:val="20"/>
      <w:lang w:eastAsia="ja-JP"/>
    </w:rPr>
  </w:style>
  <w:style w:type="paragraph" w:styleId="aff">
    <w:name w:val="caption"/>
    <w:aliases w:val="cap"/>
    <w:basedOn w:val="a"/>
    <w:next w:val="a"/>
    <w:uiPriority w:val="8"/>
    <w:qFormat/>
    <w:pPr>
      <w:spacing w:before="120" w:after="120"/>
    </w:pPr>
    <w:rPr>
      <w:rFonts w:eastAsia="MS Mincho"/>
      <w:b/>
    </w:rPr>
  </w:style>
  <w:style w:type="paragraph" w:styleId="aff0">
    <w:name w:val="Normal (Web)"/>
    <w:basedOn w:val="a"/>
    <w:uiPriority w:val="99"/>
    <w:semiHidden/>
    <w:unhideWhenUsed/>
    <w:pPr>
      <w:spacing w:before="100" w:beforeAutospacing="1" w:after="100" w:afterAutospacing="1"/>
    </w:pPr>
    <w:rPr>
      <w:rFonts w:eastAsia="Times New Roman"/>
      <w:sz w:val="24"/>
      <w:szCs w:val="24"/>
      <w:lang w:val="en-US"/>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style>
  <w:style w:type="character" w:customStyle="1" w:styleId="apple-converted-space">
    <w:name w:val="apple-converted-space"/>
    <w:basedOn w:val="a0"/>
    <w:qFormat/>
  </w:style>
  <w:style w:type="character" w:customStyle="1" w:styleId="eop">
    <w:name w:val="eop"/>
    <w:basedOn w:val="a0"/>
    <w:qFormat/>
  </w:style>
  <w:style w:type="character" w:customStyle="1" w:styleId="15">
    <w:name w:val="未处理的提及1"/>
    <w:uiPriority w:val="99"/>
    <w:semiHidden/>
    <w:unhideWhenUsed/>
    <w:qFormat/>
    <w:rPr>
      <w:color w:val="808080"/>
      <w:shd w:val="clear" w:color="auto" w:fill="E6E6E6"/>
    </w:rPr>
  </w:style>
  <w:style w:type="character" w:customStyle="1" w:styleId="16">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Comments">
    <w:name w:val="Comments"/>
    <w:basedOn w:val="a"/>
    <w:link w:val="CommentsChar"/>
    <w:qFormat/>
    <w:pPr>
      <w:spacing w:before="40" w:after="0"/>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PropObs">
    <w:name w:val="PropObs"/>
    <w:basedOn w:val="a"/>
    <w:pPr>
      <w:overflowPunct w:val="0"/>
      <w:autoSpaceDE w:val="0"/>
      <w:autoSpaceDN w:val="0"/>
      <w:adjustRightInd w:val="0"/>
      <w:spacing w:before="100" w:beforeAutospacing="1"/>
      <w:textAlignment w:val="baseline"/>
    </w:pPr>
    <w:rPr>
      <w:rFonts w:cs="Calibri"/>
      <w:b/>
      <w:bCs/>
      <w:sz w:val="22"/>
      <w:szCs w:val="22"/>
      <w:lang w:val="en-US" w:eastAsia="zh-CN"/>
    </w:rPr>
  </w:style>
  <w:style w:type="paragraph" w:customStyle="1" w:styleId="17">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ListParagraph4">
    <w:name w:val="List Paragraph4"/>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7">
    <w:name w:val="列出段落2"/>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2F098-5B39-4118-9314-E0F1D67B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2391</Words>
  <Characters>13635</Characters>
  <Application>Microsoft Office Word</Application>
  <DocSecurity>0</DocSecurity>
  <Lines>113</Lines>
  <Paragraphs>31</Paragraphs>
  <ScaleCrop>false</ScaleCrop>
  <Company>3GPP Support Team</Company>
  <LinksUpToDate>false</LinksUpToDate>
  <CharactersWithSpaces>15995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148</cp:revision>
  <cp:lastPrinted>2411-12-31T15:59:00Z</cp:lastPrinted>
  <dcterms:created xsi:type="dcterms:W3CDTF">2025-05-02T00:26:00Z</dcterms:created>
  <dcterms:modified xsi:type="dcterms:W3CDTF">2025-05-08T00:23:00Z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